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AE" w:rsidRPr="00C716AE" w:rsidRDefault="00EB1A38" w:rsidP="00C716AE">
      <w:pPr>
        <w:pBdr>
          <w:top w:val="single" w:sz="4" w:space="1" w:color="auto"/>
          <w:left w:val="single" w:sz="4" w:space="4" w:color="auto"/>
          <w:bottom w:val="single" w:sz="4" w:space="1" w:color="auto"/>
          <w:right w:val="single" w:sz="4" w:space="4" w:color="auto"/>
        </w:pBdr>
        <w:jc w:val="center"/>
        <w:rPr>
          <w:rFonts w:ascii="Times New Roman" w:hAnsi="Times New Roman" w:cs="Times New Roman"/>
          <w:i/>
          <w:sz w:val="24"/>
          <w:szCs w:val="24"/>
          <w:lang w:val="en-US"/>
        </w:rPr>
      </w:pPr>
      <w:r>
        <w:rPr>
          <w:rFonts w:ascii="Times New Roman" w:hAnsi="Times New Roman" w:cs="Times New Roman"/>
          <w:i/>
          <w:sz w:val="24"/>
          <w:szCs w:val="24"/>
          <w:lang w:val="en-US"/>
        </w:rPr>
        <w:t>Submission version!</w:t>
      </w:r>
      <w:r w:rsidR="00C716AE" w:rsidRPr="00C716AE">
        <w:rPr>
          <w:rFonts w:ascii="Times New Roman" w:hAnsi="Times New Roman" w:cs="Times New Roman"/>
          <w:i/>
          <w:sz w:val="24"/>
          <w:szCs w:val="24"/>
          <w:lang w:val="en-US"/>
        </w:rPr>
        <w:t xml:space="preserve"> The effects of Europeanisation on institutional diversification in the Western Balkans. In ZGAGA, Pavel, TEICHLER, Ulrich and BRENNAN, John (eds). </w:t>
      </w:r>
      <w:r>
        <w:rPr>
          <w:rFonts w:ascii="Times New Roman" w:hAnsi="Times New Roman" w:cs="Times New Roman"/>
          <w:i/>
          <w:sz w:val="24"/>
          <w:szCs w:val="24"/>
          <w:lang w:val="en-US"/>
        </w:rPr>
        <w:t xml:space="preserve">2013. </w:t>
      </w:r>
      <w:r w:rsidR="00C716AE" w:rsidRPr="00C716AE">
        <w:rPr>
          <w:rFonts w:ascii="Times New Roman" w:hAnsi="Times New Roman" w:cs="Times New Roman"/>
          <w:i/>
          <w:sz w:val="24"/>
          <w:szCs w:val="24"/>
          <w:lang w:val="en-US"/>
        </w:rPr>
        <w:t>The globalisation challenge for European Higher Education: Convergence and diversity, centres and peripheries, Bern: Peter Lang</w:t>
      </w:r>
      <w:r>
        <w:rPr>
          <w:rFonts w:ascii="Times New Roman" w:hAnsi="Times New Roman" w:cs="Times New Roman"/>
          <w:i/>
          <w:sz w:val="24"/>
          <w:szCs w:val="24"/>
          <w:lang w:val="en-US"/>
        </w:rPr>
        <w:t>, pp. 117-138</w:t>
      </w:r>
    </w:p>
    <w:p w:rsidR="00C716AE" w:rsidRDefault="00C716AE" w:rsidP="006E008A">
      <w:pPr>
        <w:jc w:val="center"/>
        <w:rPr>
          <w:rFonts w:ascii="Times New Roman" w:hAnsi="Times New Roman" w:cs="Times New Roman"/>
          <w:b/>
          <w:sz w:val="24"/>
          <w:szCs w:val="24"/>
          <w:lang w:val="en-US"/>
        </w:rPr>
      </w:pPr>
    </w:p>
    <w:p w:rsidR="00C74645" w:rsidRPr="003A59C0" w:rsidRDefault="00C74645" w:rsidP="006E008A">
      <w:pPr>
        <w:jc w:val="center"/>
        <w:rPr>
          <w:rFonts w:ascii="Times New Roman" w:hAnsi="Times New Roman" w:cs="Times New Roman"/>
          <w:b/>
          <w:sz w:val="24"/>
          <w:szCs w:val="24"/>
          <w:lang w:val="en-US"/>
        </w:rPr>
      </w:pPr>
      <w:r w:rsidRPr="003A59C0">
        <w:rPr>
          <w:rFonts w:ascii="Times New Roman" w:hAnsi="Times New Roman" w:cs="Times New Roman"/>
          <w:b/>
          <w:sz w:val="24"/>
          <w:szCs w:val="24"/>
          <w:lang w:val="en-US"/>
        </w:rPr>
        <w:t>The effects of Europeanisation on institutional diversification in the Western Balkans</w:t>
      </w:r>
    </w:p>
    <w:p w:rsidR="00C74645" w:rsidRPr="003A59C0" w:rsidRDefault="00C74645" w:rsidP="006E008A">
      <w:pPr>
        <w:jc w:val="center"/>
        <w:rPr>
          <w:rFonts w:ascii="Times New Roman" w:hAnsi="Times New Roman" w:cs="Times New Roman"/>
          <w:b/>
          <w:sz w:val="24"/>
          <w:szCs w:val="24"/>
          <w:lang w:val="en-US"/>
        </w:rPr>
      </w:pPr>
      <w:r w:rsidRPr="003A59C0">
        <w:rPr>
          <w:rFonts w:ascii="Times New Roman" w:hAnsi="Times New Roman" w:cs="Times New Roman"/>
          <w:b/>
          <w:sz w:val="24"/>
          <w:szCs w:val="24"/>
          <w:lang w:val="en-US"/>
        </w:rPr>
        <w:t>Manja Klemenčič</w:t>
      </w:r>
    </w:p>
    <w:p w:rsidR="00C74645" w:rsidRPr="003A59C0" w:rsidRDefault="00C74645" w:rsidP="006E008A">
      <w:pPr>
        <w:pStyle w:val="Heading1"/>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Abstract</w:t>
      </w:r>
    </w:p>
    <w:p w:rsidR="00C74645" w:rsidRPr="003A59C0" w:rsidRDefault="00EA7A82"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A lack of diversity among </w:t>
      </w:r>
      <w:r w:rsidR="00647C52" w:rsidRPr="003A59C0">
        <w:rPr>
          <w:rFonts w:ascii="Times New Roman" w:hAnsi="Times New Roman" w:cs="Times New Roman"/>
          <w:sz w:val="24"/>
          <w:szCs w:val="24"/>
          <w:lang w:val="en-US"/>
        </w:rPr>
        <w:t>HE</w:t>
      </w:r>
      <w:r w:rsidRPr="003A59C0">
        <w:rPr>
          <w:rFonts w:ascii="Times New Roman" w:hAnsi="Times New Roman" w:cs="Times New Roman"/>
          <w:sz w:val="24"/>
          <w:szCs w:val="24"/>
          <w:lang w:val="en-US"/>
        </w:rPr>
        <w:t xml:space="preserve"> institutions is coming to be seen as one of the key weaknesses of European </w:t>
      </w:r>
      <w:r w:rsidR="00811373" w:rsidRPr="003A59C0">
        <w:rPr>
          <w:rFonts w:ascii="Times New Roman" w:hAnsi="Times New Roman" w:cs="Times New Roman"/>
          <w:sz w:val="24"/>
          <w:szCs w:val="24"/>
          <w:lang w:val="en-US"/>
        </w:rPr>
        <w:t>higher education [</w:t>
      </w:r>
      <w:r w:rsidR="00647C52" w:rsidRPr="003A59C0">
        <w:rPr>
          <w:rFonts w:ascii="Times New Roman" w:hAnsi="Times New Roman" w:cs="Times New Roman"/>
          <w:sz w:val="24"/>
          <w:szCs w:val="24"/>
          <w:lang w:val="en-US"/>
        </w:rPr>
        <w:t>HE</w:t>
      </w:r>
      <w:r w:rsidR="00811373"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The </w:t>
      </w:r>
      <w:r w:rsidR="00A51477" w:rsidRPr="003A59C0">
        <w:rPr>
          <w:rFonts w:ascii="Times New Roman" w:hAnsi="Times New Roman" w:cs="Times New Roman"/>
          <w:sz w:val="24"/>
          <w:szCs w:val="24"/>
          <w:lang w:val="en-US"/>
        </w:rPr>
        <w:t>E</w:t>
      </w:r>
      <w:r w:rsidR="008C134E" w:rsidRPr="003A59C0">
        <w:rPr>
          <w:rFonts w:ascii="Times New Roman" w:hAnsi="Times New Roman" w:cs="Times New Roman"/>
          <w:sz w:val="24"/>
          <w:szCs w:val="24"/>
          <w:lang w:val="en-US"/>
        </w:rPr>
        <w:t xml:space="preserve">uropean </w:t>
      </w:r>
      <w:r w:rsidR="00A51477" w:rsidRPr="003A59C0">
        <w:rPr>
          <w:rFonts w:ascii="Times New Roman" w:hAnsi="Times New Roman" w:cs="Times New Roman"/>
          <w:sz w:val="24"/>
          <w:szCs w:val="24"/>
          <w:lang w:val="en-US"/>
        </w:rPr>
        <w:t>C</w:t>
      </w:r>
      <w:r w:rsidR="008C134E" w:rsidRPr="003A59C0">
        <w:rPr>
          <w:rFonts w:ascii="Times New Roman" w:hAnsi="Times New Roman" w:cs="Times New Roman"/>
          <w:sz w:val="24"/>
          <w:szCs w:val="24"/>
          <w:lang w:val="en-US"/>
        </w:rPr>
        <w:t>ommission [EC]</w:t>
      </w:r>
      <w:r w:rsidRPr="003A59C0">
        <w:rPr>
          <w:rFonts w:ascii="Times New Roman" w:hAnsi="Times New Roman" w:cs="Times New Roman"/>
          <w:sz w:val="24"/>
          <w:szCs w:val="24"/>
          <w:lang w:val="en-US"/>
        </w:rPr>
        <w:t xml:space="preserve"> suggests that a low degree of diversification - implying uniformity and egalitarianism among </w:t>
      </w:r>
      <w:r w:rsidR="00647C52" w:rsidRPr="003A59C0">
        <w:rPr>
          <w:rFonts w:ascii="Times New Roman" w:hAnsi="Times New Roman" w:cs="Times New Roman"/>
          <w:sz w:val="24"/>
          <w:szCs w:val="24"/>
          <w:lang w:val="en-US"/>
        </w:rPr>
        <w:t>HE</w:t>
      </w:r>
      <w:r w:rsidRPr="003A59C0">
        <w:rPr>
          <w:rFonts w:ascii="Times New Roman" w:hAnsi="Times New Roman" w:cs="Times New Roman"/>
          <w:sz w:val="24"/>
          <w:szCs w:val="24"/>
          <w:lang w:val="en-US"/>
        </w:rPr>
        <w:t xml:space="preserve"> institutions - is an obstacle, indeed “a bottleneck”, to achieving excellence and efficiency at the system level</w:t>
      </w:r>
      <w:r w:rsidR="005503CC" w:rsidRPr="003A59C0">
        <w:rPr>
          <w:rFonts w:ascii="Times New Roman" w:hAnsi="Times New Roman" w:cs="Times New Roman"/>
          <w:sz w:val="24"/>
          <w:szCs w:val="24"/>
          <w:lang w:val="en-US"/>
        </w:rPr>
        <w:t xml:space="preserve">. </w:t>
      </w:r>
      <w:r w:rsidR="001A0EA3" w:rsidRPr="003A59C0">
        <w:rPr>
          <w:rFonts w:ascii="Times New Roman" w:hAnsi="Times New Roman" w:cs="Times New Roman"/>
          <w:sz w:val="24"/>
          <w:szCs w:val="24"/>
          <w:lang w:val="en-US"/>
        </w:rPr>
        <w:t>The key question investigated in this article is</w:t>
      </w:r>
      <w:r w:rsidR="005503CC" w:rsidRPr="003A59C0">
        <w:rPr>
          <w:rFonts w:ascii="Times New Roman" w:hAnsi="Times New Roman" w:cs="Times New Roman"/>
          <w:sz w:val="24"/>
          <w:szCs w:val="24"/>
          <w:lang w:val="en-US"/>
        </w:rPr>
        <w:t xml:space="preserve"> to</w:t>
      </w:r>
      <w:r w:rsidR="001A0EA3" w:rsidRPr="003A59C0">
        <w:rPr>
          <w:rFonts w:ascii="Times New Roman" w:hAnsi="Times New Roman" w:cs="Times New Roman"/>
          <w:sz w:val="24"/>
          <w:szCs w:val="24"/>
          <w:lang w:val="en-US"/>
        </w:rPr>
        <w:t xml:space="preserve"> what extent national policy developments reflect the European</w:t>
      </w:r>
      <w:r w:rsidR="005503CC" w:rsidRPr="003A59C0">
        <w:rPr>
          <w:rFonts w:ascii="Times New Roman" w:hAnsi="Times New Roman" w:cs="Times New Roman"/>
          <w:sz w:val="24"/>
          <w:szCs w:val="24"/>
          <w:lang w:val="en-US"/>
        </w:rPr>
        <w:t xml:space="preserve"> recommendations</w:t>
      </w:r>
      <w:r w:rsidR="001A0EA3" w:rsidRPr="003A59C0">
        <w:rPr>
          <w:rFonts w:ascii="Times New Roman" w:hAnsi="Times New Roman" w:cs="Times New Roman"/>
          <w:sz w:val="24"/>
          <w:szCs w:val="24"/>
          <w:lang w:val="en-US"/>
        </w:rPr>
        <w:t xml:space="preserve"> on institutional diversification</w:t>
      </w:r>
      <w:r w:rsidR="005503CC" w:rsidRPr="003A59C0">
        <w:rPr>
          <w:rFonts w:ascii="Times New Roman" w:hAnsi="Times New Roman" w:cs="Times New Roman"/>
          <w:sz w:val="24"/>
          <w:szCs w:val="24"/>
          <w:lang w:val="en-US"/>
        </w:rPr>
        <w:t xml:space="preserve">. In </w:t>
      </w:r>
      <w:r w:rsidR="001A0EA3" w:rsidRPr="003A59C0">
        <w:rPr>
          <w:rFonts w:ascii="Times New Roman" w:hAnsi="Times New Roman" w:cs="Times New Roman"/>
          <w:sz w:val="24"/>
          <w:szCs w:val="24"/>
          <w:lang w:val="en-US"/>
        </w:rPr>
        <w:t>other words, to what extent</w:t>
      </w:r>
      <w:r w:rsidR="000623C0" w:rsidRPr="003A59C0">
        <w:rPr>
          <w:rFonts w:ascii="Times New Roman" w:hAnsi="Times New Roman" w:cs="Times New Roman"/>
          <w:sz w:val="24"/>
          <w:szCs w:val="24"/>
          <w:lang w:val="en-US"/>
        </w:rPr>
        <w:t xml:space="preserve"> can we speak about</w:t>
      </w:r>
      <w:r w:rsidR="00CB1D23" w:rsidRPr="003A59C0">
        <w:rPr>
          <w:rFonts w:ascii="Times New Roman" w:hAnsi="Times New Roman" w:cs="Times New Roman"/>
          <w:sz w:val="24"/>
          <w:szCs w:val="24"/>
          <w:lang w:val="en-US"/>
        </w:rPr>
        <w:t xml:space="preserve"> </w:t>
      </w:r>
      <w:r w:rsidR="001A0EA3" w:rsidRPr="003A59C0">
        <w:rPr>
          <w:rFonts w:ascii="Times New Roman" w:hAnsi="Times New Roman" w:cs="Times New Roman"/>
          <w:sz w:val="24"/>
          <w:szCs w:val="24"/>
          <w:lang w:val="en-US"/>
        </w:rPr>
        <w:t>Europeanisation</w:t>
      </w:r>
      <w:r w:rsidR="005503CC" w:rsidRPr="003A59C0">
        <w:rPr>
          <w:rFonts w:ascii="Times New Roman" w:hAnsi="Times New Roman" w:cs="Times New Roman"/>
          <w:sz w:val="24"/>
          <w:szCs w:val="24"/>
          <w:lang w:val="en-US"/>
        </w:rPr>
        <w:t xml:space="preserve"> in the sense of policy adaptation and institutional change towards institutional </w:t>
      </w:r>
      <w:r w:rsidR="000623C0" w:rsidRPr="003A59C0">
        <w:rPr>
          <w:rFonts w:ascii="Times New Roman" w:hAnsi="Times New Roman" w:cs="Times New Roman"/>
          <w:sz w:val="24"/>
          <w:szCs w:val="24"/>
          <w:lang w:val="en-US"/>
        </w:rPr>
        <w:t>diversity?</w:t>
      </w:r>
      <w:r w:rsidR="001A0EA3" w:rsidRPr="003A59C0">
        <w:rPr>
          <w:rFonts w:ascii="Times New Roman" w:hAnsi="Times New Roman" w:cs="Times New Roman"/>
          <w:sz w:val="24"/>
          <w:szCs w:val="24"/>
          <w:lang w:val="en-US"/>
        </w:rPr>
        <w:t xml:space="preserve"> </w:t>
      </w:r>
      <w:r w:rsidR="00DC1706" w:rsidRPr="003A59C0">
        <w:rPr>
          <w:rFonts w:ascii="Times New Roman" w:hAnsi="Times New Roman" w:cs="Times New Roman"/>
          <w:sz w:val="24"/>
          <w:szCs w:val="24"/>
          <w:lang w:val="en-US"/>
        </w:rPr>
        <w:t xml:space="preserve">This question is explored in the context of four Western Balkan countries: Albania, Croatia, Serbia and Slovenia. </w:t>
      </w:r>
      <w:r w:rsidR="001A0EA3" w:rsidRPr="003A59C0">
        <w:rPr>
          <w:rFonts w:ascii="Times New Roman" w:hAnsi="Times New Roman" w:cs="Times New Roman"/>
          <w:sz w:val="24"/>
          <w:szCs w:val="24"/>
          <w:lang w:val="en-US"/>
        </w:rPr>
        <w:t>The article</w:t>
      </w:r>
      <w:r w:rsidRPr="003A59C0">
        <w:rPr>
          <w:rFonts w:ascii="Times New Roman" w:hAnsi="Times New Roman" w:cs="Times New Roman"/>
          <w:sz w:val="24"/>
          <w:szCs w:val="24"/>
          <w:lang w:val="en-US"/>
        </w:rPr>
        <w:t xml:space="preserve"> first reviews the </w:t>
      </w:r>
      <w:r w:rsidR="00DC1706" w:rsidRPr="003A59C0">
        <w:rPr>
          <w:rFonts w:ascii="Times New Roman" w:hAnsi="Times New Roman" w:cs="Times New Roman"/>
          <w:sz w:val="24"/>
          <w:szCs w:val="24"/>
          <w:lang w:val="en-US"/>
        </w:rPr>
        <w:t>European position</w:t>
      </w:r>
      <w:r w:rsidR="00647C52" w:rsidRPr="003A59C0">
        <w:rPr>
          <w:rFonts w:ascii="Times New Roman" w:hAnsi="Times New Roman" w:cs="Times New Roman"/>
          <w:sz w:val="24"/>
          <w:szCs w:val="24"/>
          <w:lang w:val="en-US"/>
        </w:rPr>
        <w:t>s</w:t>
      </w:r>
      <w:r w:rsidR="00DC1706" w:rsidRPr="003A59C0">
        <w:rPr>
          <w:rFonts w:ascii="Times New Roman" w:hAnsi="Times New Roman" w:cs="Times New Roman"/>
          <w:sz w:val="24"/>
          <w:szCs w:val="24"/>
          <w:lang w:val="en-US"/>
        </w:rPr>
        <w:t xml:space="preserve"> and recommendations on institutional diversity </w:t>
      </w:r>
      <w:r w:rsidR="00647C52" w:rsidRPr="003A59C0">
        <w:rPr>
          <w:rFonts w:ascii="Times New Roman" w:hAnsi="Times New Roman" w:cs="Times New Roman"/>
          <w:sz w:val="24"/>
          <w:szCs w:val="24"/>
          <w:lang w:val="en-US"/>
        </w:rPr>
        <w:t>focusing on those formulated by the EC.</w:t>
      </w:r>
      <w:r w:rsidRPr="003A59C0">
        <w:rPr>
          <w:rFonts w:ascii="Times New Roman" w:hAnsi="Times New Roman" w:cs="Times New Roman"/>
          <w:sz w:val="24"/>
          <w:szCs w:val="24"/>
          <w:lang w:val="en-US"/>
        </w:rPr>
        <w:t xml:space="preserve"> </w:t>
      </w:r>
      <w:r w:rsidR="005503CC" w:rsidRPr="003A59C0">
        <w:rPr>
          <w:rFonts w:ascii="Times New Roman" w:hAnsi="Times New Roman" w:cs="Times New Roman"/>
          <w:sz w:val="24"/>
          <w:szCs w:val="24"/>
          <w:lang w:val="en-US"/>
        </w:rPr>
        <w:t>The second section is devoted to the analysi</w:t>
      </w:r>
      <w:r w:rsidRPr="003A59C0">
        <w:rPr>
          <w:rFonts w:ascii="Times New Roman" w:hAnsi="Times New Roman" w:cs="Times New Roman"/>
          <w:sz w:val="24"/>
          <w:szCs w:val="24"/>
          <w:lang w:val="en-US"/>
        </w:rPr>
        <w:t xml:space="preserve">s </w:t>
      </w:r>
      <w:r w:rsidR="005503CC" w:rsidRPr="003A59C0">
        <w:rPr>
          <w:rFonts w:ascii="Times New Roman" w:hAnsi="Times New Roman" w:cs="Times New Roman"/>
          <w:sz w:val="24"/>
          <w:szCs w:val="24"/>
          <w:lang w:val="en-US"/>
        </w:rPr>
        <w:t xml:space="preserve">of </w:t>
      </w:r>
      <w:r w:rsidRPr="003A59C0">
        <w:rPr>
          <w:rFonts w:ascii="Times New Roman" w:hAnsi="Times New Roman" w:cs="Times New Roman"/>
          <w:sz w:val="24"/>
          <w:szCs w:val="24"/>
          <w:lang w:val="en-US"/>
        </w:rPr>
        <w:t xml:space="preserve">the </w:t>
      </w:r>
      <w:r w:rsidR="00DC1706" w:rsidRPr="003A59C0">
        <w:rPr>
          <w:rFonts w:ascii="Times New Roman" w:hAnsi="Times New Roman" w:cs="Times New Roman"/>
          <w:sz w:val="24"/>
          <w:szCs w:val="24"/>
          <w:lang w:val="en-US"/>
        </w:rPr>
        <w:t>key</w:t>
      </w:r>
      <w:r w:rsidRPr="003A59C0">
        <w:rPr>
          <w:rFonts w:ascii="Times New Roman" w:hAnsi="Times New Roman" w:cs="Times New Roman"/>
          <w:sz w:val="24"/>
          <w:szCs w:val="24"/>
          <w:lang w:val="en-US"/>
        </w:rPr>
        <w:t xml:space="preserve"> </w:t>
      </w:r>
      <w:r w:rsidR="00DC1706" w:rsidRPr="003A59C0">
        <w:rPr>
          <w:rFonts w:ascii="Times New Roman" w:hAnsi="Times New Roman" w:cs="Times New Roman"/>
          <w:sz w:val="24"/>
          <w:szCs w:val="24"/>
          <w:lang w:val="en-US"/>
        </w:rPr>
        <w:t>strategic and regulatory documents</w:t>
      </w:r>
      <w:r w:rsidRPr="003A59C0">
        <w:rPr>
          <w:rFonts w:ascii="Times New Roman" w:hAnsi="Times New Roman" w:cs="Times New Roman"/>
          <w:sz w:val="24"/>
          <w:szCs w:val="24"/>
          <w:lang w:val="en-US"/>
        </w:rPr>
        <w:t xml:space="preserve"> concerning institutional diversity </w:t>
      </w:r>
      <w:r w:rsidR="00DC1706" w:rsidRPr="003A59C0">
        <w:rPr>
          <w:rFonts w:ascii="Times New Roman" w:hAnsi="Times New Roman" w:cs="Times New Roman"/>
          <w:sz w:val="24"/>
          <w:szCs w:val="24"/>
          <w:lang w:val="en-US"/>
        </w:rPr>
        <w:t xml:space="preserve">within the last decade </w:t>
      </w:r>
      <w:r w:rsidRPr="003A59C0">
        <w:rPr>
          <w:rFonts w:ascii="Times New Roman" w:hAnsi="Times New Roman" w:cs="Times New Roman"/>
          <w:sz w:val="24"/>
          <w:szCs w:val="24"/>
          <w:lang w:val="en-US"/>
        </w:rPr>
        <w:t xml:space="preserve">in </w:t>
      </w:r>
      <w:r w:rsidR="001A0EA3" w:rsidRPr="003A59C0">
        <w:rPr>
          <w:rFonts w:ascii="Times New Roman" w:hAnsi="Times New Roman" w:cs="Times New Roman"/>
          <w:sz w:val="24"/>
          <w:szCs w:val="24"/>
          <w:lang w:val="en-US"/>
        </w:rPr>
        <w:t xml:space="preserve">the </w:t>
      </w:r>
      <w:r w:rsidR="00DC1706" w:rsidRPr="003A59C0">
        <w:rPr>
          <w:rFonts w:ascii="Times New Roman" w:hAnsi="Times New Roman" w:cs="Times New Roman"/>
          <w:sz w:val="24"/>
          <w:szCs w:val="24"/>
          <w:lang w:val="en-US"/>
        </w:rPr>
        <w:t>four Western Balkan countries</w:t>
      </w:r>
      <w:r w:rsidRPr="003A59C0">
        <w:rPr>
          <w:rFonts w:ascii="Times New Roman" w:hAnsi="Times New Roman" w:cs="Times New Roman"/>
          <w:sz w:val="24"/>
          <w:szCs w:val="24"/>
          <w:lang w:val="en-US"/>
        </w:rPr>
        <w:t xml:space="preserve">. </w:t>
      </w:r>
      <w:r w:rsidR="005503CC" w:rsidRPr="003A59C0">
        <w:rPr>
          <w:rFonts w:ascii="Times New Roman" w:hAnsi="Times New Roman" w:cs="Times New Roman"/>
          <w:sz w:val="24"/>
          <w:szCs w:val="24"/>
          <w:lang w:val="en-US"/>
        </w:rPr>
        <w:t>Th</w:t>
      </w:r>
      <w:r w:rsidR="00245ADB" w:rsidRPr="003A59C0">
        <w:rPr>
          <w:rFonts w:ascii="Times New Roman" w:hAnsi="Times New Roman" w:cs="Times New Roman"/>
          <w:sz w:val="24"/>
          <w:szCs w:val="24"/>
          <w:lang w:val="en-US"/>
        </w:rPr>
        <w:t>is</w:t>
      </w:r>
      <w:r w:rsidR="005503CC" w:rsidRPr="003A59C0">
        <w:rPr>
          <w:rFonts w:ascii="Times New Roman" w:hAnsi="Times New Roman" w:cs="Times New Roman"/>
          <w:sz w:val="24"/>
          <w:szCs w:val="24"/>
          <w:lang w:val="en-US"/>
        </w:rPr>
        <w:t xml:space="preserve"> section</w:t>
      </w:r>
      <w:r w:rsidR="001A0EA3" w:rsidRPr="003A59C0">
        <w:rPr>
          <w:rFonts w:ascii="Times New Roman" w:hAnsi="Times New Roman" w:cs="Times New Roman"/>
          <w:sz w:val="24"/>
          <w:szCs w:val="24"/>
          <w:lang w:val="en-US"/>
        </w:rPr>
        <w:t xml:space="preserve"> highlights what </w:t>
      </w:r>
      <w:r w:rsidR="005503CC" w:rsidRPr="003A59C0">
        <w:rPr>
          <w:rFonts w:ascii="Times New Roman" w:hAnsi="Times New Roman" w:cs="Times New Roman"/>
          <w:sz w:val="24"/>
          <w:szCs w:val="24"/>
          <w:lang w:val="en-US"/>
        </w:rPr>
        <w:t xml:space="preserve">are </w:t>
      </w:r>
      <w:r w:rsidR="000623C0" w:rsidRPr="003A59C0">
        <w:rPr>
          <w:rFonts w:ascii="Times New Roman" w:hAnsi="Times New Roman" w:cs="Times New Roman"/>
          <w:sz w:val="24"/>
          <w:szCs w:val="24"/>
          <w:lang w:val="en-US"/>
        </w:rPr>
        <w:t xml:space="preserve">the </w:t>
      </w:r>
      <w:r w:rsidR="001A0EA3" w:rsidRPr="003A59C0">
        <w:rPr>
          <w:rFonts w:ascii="Times New Roman" w:hAnsi="Times New Roman" w:cs="Times New Roman"/>
          <w:sz w:val="24"/>
          <w:szCs w:val="24"/>
          <w:lang w:val="en-US"/>
        </w:rPr>
        <w:t>key dimensions of institutional diversity pursued b</w:t>
      </w:r>
      <w:r w:rsidR="005503CC" w:rsidRPr="003A59C0">
        <w:rPr>
          <w:rFonts w:ascii="Times New Roman" w:hAnsi="Times New Roman" w:cs="Times New Roman"/>
          <w:sz w:val="24"/>
          <w:szCs w:val="24"/>
          <w:lang w:val="en-US"/>
        </w:rPr>
        <w:t>y the respective governments</w:t>
      </w:r>
      <w:r w:rsidR="001A0EA3" w:rsidRPr="003A59C0">
        <w:rPr>
          <w:rFonts w:ascii="Times New Roman" w:hAnsi="Times New Roman" w:cs="Times New Roman"/>
          <w:sz w:val="24"/>
          <w:szCs w:val="24"/>
          <w:lang w:val="en-US"/>
        </w:rPr>
        <w:t xml:space="preserve">, and how they are pursued. </w:t>
      </w:r>
      <w:r w:rsidR="005503CC" w:rsidRPr="003A59C0">
        <w:rPr>
          <w:rFonts w:ascii="Times New Roman" w:hAnsi="Times New Roman" w:cs="Times New Roman"/>
          <w:sz w:val="24"/>
          <w:szCs w:val="24"/>
          <w:lang w:val="en-US"/>
        </w:rPr>
        <w:t>The article closes with a discussion of the k</w:t>
      </w:r>
      <w:r w:rsidR="001A0EA3" w:rsidRPr="003A59C0">
        <w:rPr>
          <w:rFonts w:ascii="Times New Roman" w:hAnsi="Times New Roman" w:cs="Times New Roman"/>
          <w:sz w:val="24"/>
          <w:szCs w:val="24"/>
          <w:lang w:val="en-US"/>
        </w:rPr>
        <w:t xml:space="preserve">ey drivers for diversification </w:t>
      </w:r>
      <w:r w:rsidR="005503CC" w:rsidRPr="003A59C0">
        <w:rPr>
          <w:rFonts w:ascii="Times New Roman" w:hAnsi="Times New Roman" w:cs="Times New Roman"/>
          <w:sz w:val="24"/>
          <w:szCs w:val="24"/>
          <w:lang w:val="en-US"/>
        </w:rPr>
        <w:t xml:space="preserve">within the national contexts, and how these play out with the impulses coming from the </w:t>
      </w:r>
      <w:r w:rsidR="00DC1706" w:rsidRPr="003A59C0">
        <w:rPr>
          <w:rFonts w:ascii="Times New Roman" w:hAnsi="Times New Roman" w:cs="Times New Roman"/>
          <w:sz w:val="24"/>
          <w:szCs w:val="24"/>
          <w:lang w:val="en-US"/>
        </w:rPr>
        <w:t>European</w:t>
      </w:r>
      <w:r w:rsidR="005503CC" w:rsidRPr="003A59C0">
        <w:rPr>
          <w:rFonts w:ascii="Times New Roman" w:hAnsi="Times New Roman" w:cs="Times New Roman"/>
          <w:sz w:val="24"/>
          <w:szCs w:val="24"/>
          <w:lang w:val="en-US"/>
        </w:rPr>
        <w:t xml:space="preserve"> context.</w:t>
      </w:r>
      <w:r w:rsidR="001A0EA3" w:rsidRPr="003A59C0">
        <w:rPr>
          <w:rFonts w:ascii="Times New Roman" w:hAnsi="Times New Roman" w:cs="Times New Roman"/>
          <w:sz w:val="24"/>
          <w:szCs w:val="24"/>
          <w:lang w:val="en-US"/>
        </w:rPr>
        <w:t xml:space="preserve"> </w:t>
      </w:r>
    </w:p>
    <w:p w:rsidR="00A51477" w:rsidRPr="003A59C0" w:rsidRDefault="00A51477" w:rsidP="006E008A">
      <w:pPr>
        <w:jc w:val="both"/>
        <w:rPr>
          <w:rFonts w:ascii="Times New Roman" w:hAnsi="Times New Roman" w:cs="Times New Roman"/>
          <w:sz w:val="24"/>
          <w:szCs w:val="24"/>
          <w:lang w:val="en-US"/>
        </w:rPr>
      </w:pPr>
    </w:p>
    <w:p w:rsidR="00C74645" w:rsidRPr="003A59C0" w:rsidRDefault="0098665E" w:rsidP="006E008A">
      <w:pPr>
        <w:jc w:val="both"/>
        <w:rPr>
          <w:rFonts w:ascii="Times New Roman" w:hAnsi="Times New Roman" w:cs="Times New Roman"/>
          <w:sz w:val="24"/>
          <w:szCs w:val="24"/>
          <w:lang w:val="en-US"/>
        </w:rPr>
      </w:pPr>
      <w:r w:rsidRPr="003A59C0">
        <w:rPr>
          <w:rStyle w:val="Heading1Char"/>
          <w:rFonts w:ascii="Times New Roman" w:hAnsi="Times New Roman" w:cs="Times New Roman"/>
          <w:sz w:val="24"/>
          <w:szCs w:val="24"/>
        </w:rPr>
        <w:t>Keywords:</w:t>
      </w:r>
      <w:r w:rsidRPr="003A59C0">
        <w:rPr>
          <w:rFonts w:ascii="Times New Roman" w:hAnsi="Times New Roman" w:cs="Times New Roman"/>
          <w:sz w:val="24"/>
          <w:szCs w:val="24"/>
          <w:lang w:val="en-US"/>
        </w:rPr>
        <w:t xml:space="preserve"> institutional diversity, institutional diversification, </w:t>
      </w:r>
      <w:r w:rsidR="00245ADB" w:rsidRPr="003A59C0">
        <w:rPr>
          <w:rFonts w:ascii="Times New Roman" w:hAnsi="Times New Roman" w:cs="Times New Roman"/>
          <w:sz w:val="24"/>
          <w:szCs w:val="24"/>
          <w:lang w:val="en-US"/>
        </w:rPr>
        <w:t xml:space="preserve">Europeanisation, diffusion, </w:t>
      </w:r>
      <w:r w:rsidRPr="003A59C0">
        <w:rPr>
          <w:rFonts w:ascii="Times New Roman" w:hAnsi="Times New Roman" w:cs="Times New Roman"/>
          <w:sz w:val="24"/>
          <w:szCs w:val="24"/>
          <w:lang w:val="en-US"/>
        </w:rPr>
        <w:t xml:space="preserve">Western Balkans, </w:t>
      </w:r>
      <w:r w:rsidR="00647C52" w:rsidRPr="003A59C0">
        <w:rPr>
          <w:rFonts w:ascii="Times New Roman" w:hAnsi="Times New Roman" w:cs="Times New Roman"/>
          <w:sz w:val="24"/>
          <w:szCs w:val="24"/>
          <w:lang w:val="en-US"/>
        </w:rPr>
        <w:t>HE</w:t>
      </w:r>
      <w:r w:rsidRPr="003A59C0">
        <w:rPr>
          <w:rFonts w:ascii="Times New Roman" w:hAnsi="Times New Roman" w:cs="Times New Roman"/>
          <w:sz w:val="24"/>
          <w:szCs w:val="24"/>
          <w:lang w:val="en-US"/>
        </w:rPr>
        <w:t xml:space="preserve"> reforms</w:t>
      </w:r>
    </w:p>
    <w:p w:rsidR="00C74645" w:rsidRPr="003A59C0" w:rsidRDefault="00C74645" w:rsidP="006E008A">
      <w:pPr>
        <w:pStyle w:val="Heading1"/>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Introduction</w:t>
      </w:r>
    </w:p>
    <w:p w:rsidR="008027E3" w:rsidRPr="003A59C0" w:rsidRDefault="00174A26" w:rsidP="006E008A">
      <w:pPr>
        <w:jc w:val="both"/>
        <w:rPr>
          <w:rFonts w:ascii="Times New Roman" w:hAnsi="Times New Roman" w:cs="Times New Roman"/>
          <w:sz w:val="24"/>
          <w:szCs w:val="24"/>
        </w:rPr>
      </w:pPr>
      <w:r w:rsidRPr="003A59C0">
        <w:rPr>
          <w:rFonts w:ascii="Times New Roman" w:hAnsi="Times New Roman" w:cs="Times New Roman"/>
          <w:sz w:val="24"/>
          <w:szCs w:val="24"/>
        </w:rPr>
        <w:t xml:space="preserve">A lack of diversity among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institutions is coming to be seen as one of the key weaknesses of European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Diversity is defined </w:t>
      </w:r>
      <w:r w:rsidR="008027E3" w:rsidRPr="003A59C0">
        <w:rPr>
          <w:rFonts w:ascii="Times New Roman" w:hAnsi="Times New Roman" w:cs="Times New Roman"/>
          <w:sz w:val="24"/>
          <w:szCs w:val="24"/>
        </w:rPr>
        <w:t xml:space="preserve">here </w:t>
      </w:r>
      <w:r w:rsidRPr="003A59C0">
        <w:rPr>
          <w:rFonts w:ascii="Times New Roman" w:hAnsi="Times New Roman" w:cs="Times New Roman"/>
          <w:sz w:val="24"/>
          <w:szCs w:val="24"/>
        </w:rPr>
        <w:t>as ‘[…] the existence of distinct forms of post-secondary education, of institutions and groups of institutions within a state or nation that have different and distinctive missions, educate and train for different lives and careers, have different styles of instruction, are organised and funded and operate under different laws and relationships to government’ (Meek et al</w:t>
      </w:r>
      <w:r w:rsidR="00647C52" w:rsidRPr="003A59C0">
        <w:rPr>
          <w:rFonts w:ascii="Times New Roman" w:hAnsi="Times New Roman" w:cs="Times New Roman"/>
          <w:sz w:val="24"/>
          <w:szCs w:val="24"/>
        </w:rPr>
        <w:t>.</w:t>
      </w:r>
      <w:r w:rsidRPr="003A59C0">
        <w:rPr>
          <w:rFonts w:ascii="Times New Roman" w:hAnsi="Times New Roman" w:cs="Times New Roman"/>
          <w:sz w:val="24"/>
          <w:szCs w:val="24"/>
        </w:rPr>
        <w:t xml:space="preserve"> 2000</w:t>
      </w:r>
      <w:r w:rsidR="00647C52" w:rsidRPr="003A59C0">
        <w:rPr>
          <w:rFonts w:ascii="Times New Roman" w:hAnsi="Times New Roman" w:cs="Times New Roman"/>
          <w:sz w:val="24"/>
          <w:szCs w:val="24"/>
        </w:rPr>
        <w:t xml:space="preserve">, </w:t>
      </w:r>
      <w:r w:rsidR="00DF3B03" w:rsidRPr="003A59C0">
        <w:rPr>
          <w:rFonts w:ascii="Times New Roman" w:hAnsi="Times New Roman" w:cs="Times New Roman"/>
          <w:sz w:val="24"/>
          <w:szCs w:val="24"/>
        </w:rPr>
        <w:t>3</w:t>
      </w:r>
      <w:r w:rsidRPr="003A59C0">
        <w:rPr>
          <w:rFonts w:ascii="Times New Roman" w:hAnsi="Times New Roman" w:cs="Times New Roman"/>
          <w:sz w:val="24"/>
          <w:szCs w:val="24"/>
        </w:rPr>
        <w:t xml:space="preserve">). Institutional diversification within national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systems, as</w:t>
      </w:r>
      <w:r w:rsidR="008027E3" w:rsidRPr="003A59C0">
        <w:rPr>
          <w:rFonts w:ascii="Times New Roman" w:hAnsi="Times New Roman" w:cs="Times New Roman"/>
          <w:sz w:val="24"/>
          <w:szCs w:val="24"/>
        </w:rPr>
        <w:t xml:space="preserve"> </w:t>
      </w:r>
      <w:r w:rsidRPr="003A59C0">
        <w:rPr>
          <w:rFonts w:ascii="Times New Roman" w:hAnsi="Times New Roman" w:cs="Times New Roman"/>
          <w:sz w:val="24"/>
          <w:szCs w:val="24"/>
        </w:rPr>
        <w:t xml:space="preserve">‘a </w:t>
      </w:r>
      <w:r w:rsidRPr="003A59C0">
        <w:rPr>
          <w:rFonts w:ascii="Times New Roman" w:hAnsi="Times New Roman" w:cs="Times New Roman"/>
          <w:sz w:val="24"/>
          <w:szCs w:val="24"/>
        </w:rPr>
        <w:lastRenderedPageBreak/>
        <w:t xml:space="preserve">process by which a system becomes more varied or diverse in its orientation and operations’ (Teichler 2008), is widely believed necessary to achieve two important goals: more equity in terms of access to a wider variety of students, and more excellence through institutional specialisation. The argument goes that a single European country, even a large one, cannot sustain several world-class universities that are similar in function and scope. Furthermore, every country needs a variety of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institutions that address the needs of an expanding and increasingly diversified body of students, and the ever more precise expectations and demands of the knowledge society and economy. </w:t>
      </w:r>
    </w:p>
    <w:p w:rsidR="005111BB" w:rsidRPr="003A59C0" w:rsidRDefault="005111BB" w:rsidP="005111BB">
      <w:pPr>
        <w:jc w:val="both"/>
        <w:rPr>
          <w:rFonts w:ascii="Times New Roman" w:hAnsi="Times New Roman" w:cs="Times New Roman"/>
          <w:sz w:val="24"/>
          <w:szCs w:val="24"/>
        </w:rPr>
      </w:pPr>
      <w:r w:rsidRPr="003A59C0">
        <w:rPr>
          <w:rFonts w:ascii="Times New Roman" w:hAnsi="Times New Roman" w:cs="Times New Roman"/>
          <w:sz w:val="24"/>
          <w:szCs w:val="24"/>
        </w:rPr>
        <w:t>Institutional diversity has several – interrela</w:t>
      </w:r>
      <w:r w:rsidR="00647C52" w:rsidRPr="003A59C0">
        <w:rPr>
          <w:rFonts w:ascii="Times New Roman" w:hAnsi="Times New Roman" w:cs="Times New Roman"/>
          <w:sz w:val="24"/>
          <w:szCs w:val="24"/>
        </w:rPr>
        <w:t>ted – dimensions (Huisman 1995; Huisman et al.</w:t>
      </w:r>
      <w:r w:rsidRPr="003A59C0">
        <w:rPr>
          <w:rFonts w:ascii="Times New Roman" w:hAnsi="Times New Roman" w:cs="Times New Roman"/>
          <w:sz w:val="24"/>
          <w:szCs w:val="24"/>
        </w:rPr>
        <w:t xml:space="preserve"> 2007)</w:t>
      </w:r>
      <w:r w:rsidR="00016709" w:rsidRPr="003A59C0">
        <w:rPr>
          <w:rFonts w:ascii="Times New Roman" w:hAnsi="Times New Roman" w:cs="Times New Roman"/>
          <w:sz w:val="24"/>
          <w:szCs w:val="24"/>
        </w:rPr>
        <w:t>. S</w:t>
      </w:r>
      <w:r w:rsidR="000818C5" w:rsidRPr="003A59C0">
        <w:rPr>
          <w:rFonts w:ascii="Times New Roman" w:hAnsi="Times New Roman" w:cs="Times New Roman"/>
          <w:sz w:val="24"/>
          <w:szCs w:val="24"/>
        </w:rPr>
        <w:t>uch</w:t>
      </w:r>
      <w:r w:rsidRPr="003A59C0">
        <w:rPr>
          <w:rFonts w:ascii="Times New Roman" w:hAnsi="Times New Roman" w:cs="Times New Roman"/>
          <w:sz w:val="24"/>
          <w:szCs w:val="24"/>
        </w:rPr>
        <w:t xml:space="preserve"> complexity poses a challenge for the res</w:t>
      </w:r>
      <w:r w:rsidR="00647C52" w:rsidRPr="003A59C0">
        <w:rPr>
          <w:rFonts w:ascii="Times New Roman" w:hAnsi="Times New Roman" w:cs="Times New Roman"/>
          <w:sz w:val="24"/>
          <w:szCs w:val="24"/>
        </w:rPr>
        <w:t xml:space="preserve">earcher to select features </w:t>
      </w:r>
      <w:r w:rsidRPr="003A59C0">
        <w:rPr>
          <w:rFonts w:ascii="Times New Roman" w:hAnsi="Times New Roman" w:cs="Times New Roman"/>
          <w:sz w:val="24"/>
          <w:szCs w:val="24"/>
        </w:rPr>
        <w:t>that are meaningful</w:t>
      </w:r>
      <w:r w:rsidR="00016709" w:rsidRPr="003A59C0">
        <w:rPr>
          <w:rFonts w:ascii="Times New Roman" w:hAnsi="Times New Roman" w:cs="Times New Roman"/>
          <w:sz w:val="24"/>
          <w:szCs w:val="24"/>
        </w:rPr>
        <w:t xml:space="preserve">ly </w:t>
      </w:r>
      <w:r w:rsidRPr="003A59C0">
        <w:rPr>
          <w:rFonts w:ascii="Times New Roman" w:hAnsi="Times New Roman" w:cs="Times New Roman"/>
          <w:sz w:val="24"/>
          <w:szCs w:val="24"/>
        </w:rPr>
        <w:t>depict</w:t>
      </w:r>
      <w:r w:rsidR="00016709" w:rsidRPr="003A59C0">
        <w:rPr>
          <w:rFonts w:ascii="Times New Roman" w:hAnsi="Times New Roman" w:cs="Times New Roman"/>
          <w:sz w:val="24"/>
          <w:szCs w:val="24"/>
        </w:rPr>
        <w:t>ing</w:t>
      </w:r>
      <w:r w:rsidRPr="003A59C0">
        <w:rPr>
          <w:rFonts w:ascii="Times New Roman" w:hAnsi="Times New Roman" w:cs="Times New Roman"/>
          <w:sz w:val="24"/>
          <w:szCs w:val="24"/>
        </w:rPr>
        <w:t xml:space="preserve"> both the similarities and the differences within the system</w:t>
      </w:r>
      <w:r w:rsidR="00016709" w:rsidRPr="003A59C0">
        <w:rPr>
          <w:rFonts w:ascii="Times New Roman" w:hAnsi="Times New Roman" w:cs="Times New Roman"/>
          <w:sz w:val="24"/>
          <w:szCs w:val="24"/>
        </w:rPr>
        <w:t xml:space="preserve"> or systems</w:t>
      </w:r>
      <w:r w:rsidRPr="003A59C0">
        <w:rPr>
          <w:rFonts w:ascii="Times New Roman" w:hAnsi="Times New Roman" w:cs="Times New Roman"/>
          <w:sz w:val="24"/>
          <w:szCs w:val="24"/>
        </w:rPr>
        <w:t xml:space="preserve"> (cf. Huisman et al. 2007).  Drawing from extant l</w:t>
      </w:r>
      <w:r w:rsidR="00647C52" w:rsidRPr="003A59C0">
        <w:rPr>
          <w:rFonts w:ascii="Times New Roman" w:hAnsi="Times New Roman" w:cs="Times New Roman"/>
          <w:sz w:val="24"/>
          <w:szCs w:val="24"/>
        </w:rPr>
        <w:t>iterature on the topic (Huisman 1995; Meek et al.</w:t>
      </w:r>
      <w:r w:rsidRPr="003A59C0">
        <w:rPr>
          <w:rFonts w:ascii="Times New Roman" w:hAnsi="Times New Roman" w:cs="Times New Roman"/>
          <w:sz w:val="24"/>
          <w:szCs w:val="24"/>
        </w:rPr>
        <w:t xml:space="preserve"> 1996; Meek and Wood 1998; </w:t>
      </w:r>
      <w:r w:rsidR="00016709" w:rsidRPr="003A59C0">
        <w:rPr>
          <w:rFonts w:ascii="Times New Roman" w:hAnsi="Times New Roman" w:cs="Times New Roman"/>
          <w:sz w:val="24"/>
          <w:szCs w:val="24"/>
        </w:rPr>
        <w:t xml:space="preserve">Neave 2000; </w:t>
      </w:r>
      <w:r w:rsidR="00647C52" w:rsidRPr="003A59C0">
        <w:rPr>
          <w:rFonts w:ascii="Times New Roman" w:hAnsi="Times New Roman" w:cs="Times New Roman"/>
          <w:sz w:val="24"/>
          <w:szCs w:val="24"/>
        </w:rPr>
        <w:t>Huisman et al.</w:t>
      </w:r>
      <w:r w:rsidRPr="003A59C0">
        <w:rPr>
          <w:rFonts w:ascii="Times New Roman" w:hAnsi="Times New Roman" w:cs="Times New Roman"/>
          <w:sz w:val="24"/>
          <w:szCs w:val="24"/>
        </w:rPr>
        <w:t xml:space="preserve"> 2007; Teichler 2008; </w:t>
      </w:r>
      <w:r w:rsidR="00647C52" w:rsidRPr="003A59C0">
        <w:rPr>
          <w:rFonts w:ascii="Times New Roman" w:hAnsi="Times New Roman" w:cs="Times New Roman"/>
          <w:sz w:val="24"/>
          <w:szCs w:val="24"/>
        </w:rPr>
        <w:t>Teixteira et al.</w:t>
      </w:r>
      <w:r w:rsidRPr="003A59C0">
        <w:rPr>
          <w:rFonts w:ascii="Times New Roman" w:hAnsi="Times New Roman" w:cs="Times New Roman"/>
          <w:sz w:val="24"/>
          <w:szCs w:val="24"/>
        </w:rPr>
        <w:t xml:space="preserve"> 2012), and taking into consideration the prevailing characteristics of the </w:t>
      </w:r>
      <w:r w:rsidR="00016709" w:rsidRPr="003A59C0">
        <w:rPr>
          <w:rFonts w:ascii="Times New Roman" w:hAnsi="Times New Roman" w:cs="Times New Roman"/>
          <w:sz w:val="24"/>
          <w:szCs w:val="24"/>
        </w:rPr>
        <w:t xml:space="preserve">Western Balkan </w:t>
      </w:r>
      <w:r w:rsidRPr="003A59C0">
        <w:rPr>
          <w:rFonts w:ascii="Times New Roman" w:hAnsi="Times New Roman" w:cs="Times New Roman"/>
          <w:sz w:val="24"/>
          <w:szCs w:val="24"/>
        </w:rPr>
        <w:t xml:space="preserve">region, this paper explores institutional diversity in terms of types of institutions according to a) binary divide (i.e. university versus other professional and vocational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institutions); and b) control found in the system (i.e. public versus private institutions). Indeed, these are the basic diversity indicators, which have </w:t>
      </w:r>
      <w:r w:rsidR="00016709" w:rsidRPr="003A59C0">
        <w:rPr>
          <w:rFonts w:ascii="Times New Roman" w:hAnsi="Times New Roman" w:cs="Times New Roman"/>
          <w:sz w:val="24"/>
          <w:szCs w:val="24"/>
        </w:rPr>
        <w:t xml:space="preserve">been in scholarly and policy documents of the last decade </w:t>
      </w:r>
      <w:r w:rsidR="009D4CE8" w:rsidRPr="003A59C0">
        <w:rPr>
          <w:rFonts w:ascii="Times New Roman" w:hAnsi="Times New Roman" w:cs="Times New Roman"/>
          <w:sz w:val="24"/>
          <w:szCs w:val="24"/>
        </w:rPr>
        <w:t>supplemented</w:t>
      </w:r>
      <w:r w:rsidRPr="003A59C0">
        <w:rPr>
          <w:rFonts w:ascii="Times New Roman" w:hAnsi="Times New Roman" w:cs="Times New Roman"/>
          <w:sz w:val="24"/>
          <w:szCs w:val="24"/>
        </w:rPr>
        <w:t xml:space="preserve"> by </w:t>
      </w:r>
      <w:r w:rsidR="000818C5" w:rsidRPr="003A59C0">
        <w:rPr>
          <w:rFonts w:ascii="Times New Roman" w:hAnsi="Times New Roman" w:cs="Times New Roman"/>
          <w:sz w:val="24"/>
          <w:szCs w:val="24"/>
        </w:rPr>
        <w:t>more advanced notions of diversity such as that of</w:t>
      </w:r>
      <w:r w:rsidRPr="003A59C0">
        <w:rPr>
          <w:rFonts w:ascii="Times New Roman" w:hAnsi="Times New Roman" w:cs="Times New Roman"/>
          <w:sz w:val="24"/>
          <w:szCs w:val="24"/>
        </w:rPr>
        <w:t xml:space="preserve"> substantive profiles, i.e. relating to focus of activities, mode of teaching, student and staff profiles, target communities, etc.</w:t>
      </w:r>
      <w:r w:rsidR="009D4CE8" w:rsidRPr="003A59C0">
        <w:rPr>
          <w:rFonts w:ascii="Times New Roman" w:hAnsi="Times New Roman" w:cs="Times New Roman"/>
          <w:sz w:val="24"/>
          <w:szCs w:val="24"/>
        </w:rPr>
        <w:t xml:space="preserve"> (Teichler 2008; Reichert 2009).</w:t>
      </w:r>
    </w:p>
    <w:p w:rsidR="000818C5" w:rsidRPr="003A59C0" w:rsidRDefault="000818C5"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The national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systems </w:t>
      </w:r>
      <w:r w:rsidR="009D4CE8" w:rsidRPr="003A59C0">
        <w:rPr>
          <w:rFonts w:ascii="Times New Roman" w:hAnsi="Times New Roman" w:cs="Times New Roman"/>
          <w:sz w:val="24"/>
          <w:szCs w:val="24"/>
        </w:rPr>
        <w:t>vary not only</w:t>
      </w:r>
      <w:r w:rsidRPr="003A59C0">
        <w:rPr>
          <w:rFonts w:ascii="Times New Roman" w:hAnsi="Times New Roman" w:cs="Times New Roman"/>
          <w:sz w:val="24"/>
          <w:szCs w:val="24"/>
        </w:rPr>
        <w:t xml:space="preserve"> in terms of the existing degrees and dimensions of institutional diversity</w:t>
      </w:r>
      <w:r w:rsidR="009D4CE8" w:rsidRPr="003A59C0">
        <w:rPr>
          <w:rFonts w:ascii="Times New Roman" w:hAnsi="Times New Roman" w:cs="Times New Roman"/>
          <w:sz w:val="24"/>
          <w:szCs w:val="24"/>
        </w:rPr>
        <w:t>, but also</w:t>
      </w:r>
      <w:r w:rsidR="002D2C4F" w:rsidRPr="003A59C0">
        <w:rPr>
          <w:rFonts w:ascii="Times New Roman" w:hAnsi="Times New Roman" w:cs="Times New Roman"/>
          <w:sz w:val="24"/>
          <w:szCs w:val="24"/>
        </w:rPr>
        <w:t xml:space="preserve"> in terms of</w:t>
      </w:r>
      <w:r w:rsidR="000623C0" w:rsidRPr="003A59C0">
        <w:rPr>
          <w:rFonts w:ascii="Times New Roman" w:hAnsi="Times New Roman" w:cs="Times New Roman"/>
          <w:sz w:val="24"/>
          <w:szCs w:val="24"/>
        </w:rPr>
        <w:t xml:space="preserve"> diversification-promoting policies pursued by governments. </w:t>
      </w:r>
      <w:r w:rsidRPr="003A59C0">
        <w:rPr>
          <w:rFonts w:ascii="Times New Roman" w:hAnsi="Times New Roman" w:cs="Times New Roman"/>
          <w:sz w:val="24"/>
          <w:szCs w:val="24"/>
        </w:rPr>
        <w:t xml:space="preserve">In European countries with predominantly public sector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institutions, the governments undoubtedly have a critical influence on systemic diversity (Codling and Meek 2006). The expectation that autonomous institutions given enough independence will automatically diversify when operating in competitive market has largely been rejected (ibid.).  The argument goes that in the absence of government intervention on this issue, institutions – in a homogeneous environment – will have a natural tendency to isomorphic behaviour ultimately resulting in increased institutional convergence. With various regulatory and funding mechanisms, governments can initiate and sustain differences between institutions and hence influence institutional diversity (ibid.). </w:t>
      </w:r>
    </w:p>
    <w:p w:rsidR="00DD2B46" w:rsidRPr="003A59C0" w:rsidRDefault="00DD2B46"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There are basically three main types of interventions they have at disposal. The first type includes regulations of the formal diversity dimensions, namely types of institutions and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structures, and levels of programmes and degree structures. For example, the existence of a binary system, at least in theory, guarantees that at least two distinct types of institution – professional and research-oriented - will exist within a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system. Similarly, provisions for private, extension and virtual-type universities add to the div</w:t>
      </w:r>
      <w:r w:rsidR="00647C52" w:rsidRPr="003A59C0">
        <w:rPr>
          <w:rFonts w:ascii="Times New Roman" w:hAnsi="Times New Roman" w:cs="Times New Roman"/>
          <w:sz w:val="24"/>
          <w:szCs w:val="24"/>
        </w:rPr>
        <w:t>ersity of types (Guri-Rosenblit</w:t>
      </w:r>
      <w:r w:rsidRPr="003A59C0">
        <w:rPr>
          <w:rFonts w:ascii="Times New Roman" w:hAnsi="Times New Roman" w:cs="Times New Roman"/>
          <w:sz w:val="24"/>
          <w:szCs w:val="24"/>
        </w:rPr>
        <w:t xml:space="preserve"> 2001). Second, funding is widely perceived as the most effective policy instrument to promote institutional diversification (Codling and Meek 2006). Codling and Meek (2006</w:t>
      </w:r>
      <w:r w:rsidR="009D4CE8" w:rsidRPr="003A59C0">
        <w:rPr>
          <w:rFonts w:ascii="Times New Roman" w:hAnsi="Times New Roman" w:cs="Times New Roman"/>
          <w:sz w:val="24"/>
          <w:szCs w:val="24"/>
        </w:rPr>
        <w:t>, 14</w:t>
      </w:r>
      <w:r w:rsidRPr="003A59C0">
        <w:rPr>
          <w:rFonts w:ascii="Times New Roman" w:hAnsi="Times New Roman" w:cs="Times New Roman"/>
          <w:sz w:val="24"/>
          <w:szCs w:val="24"/>
        </w:rPr>
        <w:t xml:space="preserve">) propose a funding scheme that is overtly directed at institutional diversification as a best </w:t>
      </w:r>
      <w:r w:rsidR="009D4CE8" w:rsidRPr="003A59C0">
        <w:rPr>
          <w:rFonts w:ascii="Times New Roman" w:hAnsi="Times New Roman" w:cs="Times New Roman"/>
          <w:sz w:val="24"/>
          <w:szCs w:val="24"/>
        </w:rPr>
        <w:t>strategy to achieve this goal: ‘</w:t>
      </w:r>
      <w:r w:rsidRPr="003A59C0">
        <w:rPr>
          <w:rFonts w:ascii="Times New Roman" w:hAnsi="Times New Roman" w:cs="Times New Roman"/>
          <w:sz w:val="24"/>
          <w:szCs w:val="24"/>
        </w:rPr>
        <w:t xml:space="preserve">The greater the financial incentives within a </w:t>
      </w:r>
      <w:r w:rsidR="00647C52" w:rsidRPr="003A59C0">
        <w:rPr>
          <w:rFonts w:ascii="Times New Roman" w:hAnsi="Times New Roman" w:cs="Times New Roman"/>
          <w:sz w:val="24"/>
          <w:szCs w:val="24"/>
        </w:rPr>
        <w:t>HE</w:t>
      </w:r>
      <w:r w:rsidRPr="003A59C0">
        <w:rPr>
          <w:rFonts w:ascii="Times New Roman" w:hAnsi="Times New Roman" w:cs="Times New Roman"/>
          <w:sz w:val="24"/>
          <w:szCs w:val="24"/>
        </w:rPr>
        <w:t xml:space="preserve"> system that do have explicit diversity objectives, the greater the p</w:t>
      </w:r>
      <w:r w:rsidR="009D4CE8" w:rsidRPr="003A59C0">
        <w:rPr>
          <w:rFonts w:ascii="Times New Roman" w:hAnsi="Times New Roman" w:cs="Times New Roman"/>
          <w:sz w:val="24"/>
          <w:szCs w:val="24"/>
        </w:rPr>
        <w:t>otential for systemic diversity’</w:t>
      </w:r>
      <w:r w:rsidRPr="003A59C0">
        <w:rPr>
          <w:rFonts w:ascii="Times New Roman" w:hAnsi="Times New Roman" w:cs="Times New Roman"/>
          <w:sz w:val="24"/>
          <w:szCs w:val="24"/>
        </w:rPr>
        <w:t>. They argue against uniform funding regimes on the grounds that institutions that are funded in exactly the same way for the same outputs will inevitably mimic the most successful among them in order to maximize their income (ibid.). Third, accreditation and quality assurance procedures are seen as important accompanying measures reinforcing the diversification policy. They are, however, unlikely to enforce diversification objectives on their own, i.e. in absence of an appropriate fundin</w:t>
      </w:r>
      <w:r w:rsidR="00647C52" w:rsidRPr="003A59C0">
        <w:rPr>
          <w:rFonts w:ascii="Times New Roman" w:hAnsi="Times New Roman" w:cs="Times New Roman"/>
          <w:sz w:val="24"/>
          <w:szCs w:val="24"/>
        </w:rPr>
        <w:t>g regime (Guri-Rosenblit et al.</w:t>
      </w:r>
      <w:r w:rsidRPr="003A59C0">
        <w:rPr>
          <w:rFonts w:ascii="Times New Roman" w:hAnsi="Times New Roman" w:cs="Times New Roman"/>
          <w:sz w:val="24"/>
          <w:szCs w:val="24"/>
        </w:rPr>
        <w:t xml:space="preserve"> 2007</w:t>
      </w:r>
      <w:r w:rsidR="00647C52" w:rsidRPr="003A59C0">
        <w:rPr>
          <w:rFonts w:ascii="Times New Roman" w:hAnsi="Times New Roman" w:cs="Times New Roman"/>
          <w:sz w:val="24"/>
          <w:szCs w:val="24"/>
        </w:rPr>
        <w:t>,</w:t>
      </w:r>
      <w:r w:rsidRPr="003A59C0">
        <w:rPr>
          <w:rFonts w:ascii="Times New Roman" w:hAnsi="Times New Roman" w:cs="Times New Roman"/>
          <w:sz w:val="24"/>
          <w:szCs w:val="24"/>
        </w:rPr>
        <w:t xml:space="preserve"> 378).</w:t>
      </w:r>
    </w:p>
    <w:p w:rsidR="009D4CE8" w:rsidRPr="003A59C0" w:rsidRDefault="000818C5"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But how do the governments come to decide to apply these mechanisms </w:t>
      </w:r>
      <w:r w:rsidR="008C7D37" w:rsidRPr="003A59C0">
        <w:rPr>
          <w:rFonts w:ascii="Times New Roman" w:hAnsi="Times New Roman" w:cs="Times New Roman"/>
          <w:sz w:val="24"/>
          <w:szCs w:val="24"/>
        </w:rPr>
        <w:t>and how</w:t>
      </w:r>
      <w:r w:rsidRPr="003A59C0">
        <w:rPr>
          <w:rFonts w:ascii="Times New Roman" w:hAnsi="Times New Roman" w:cs="Times New Roman"/>
          <w:sz w:val="24"/>
          <w:szCs w:val="24"/>
        </w:rPr>
        <w:t xml:space="preserve">? The impulses come certainly from the </w:t>
      </w:r>
      <w:r w:rsidR="00647C52" w:rsidRPr="003A59C0">
        <w:rPr>
          <w:rFonts w:ascii="Times New Roman" w:hAnsi="Times New Roman" w:cs="Times New Roman"/>
          <w:sz w:val="24"/>
          <w:szCs w:val="24"/>
        </w:rPr>
        <w:t>HE</w:t>
      </w:r>
      <w:r w:rsidR="008C7D37" w:rsidRPr="003A59C0">
        <w:rPr>
          <w:rFonts w:ascii="Times New Roman" w:hAnsi="Times New Roman" w:cs="Times New Roman"/>
          <w:sz w:val="24"/>
          <w:szCs w:val="24"/>
        </w:rPr>
        <w:t xml:space="preserve"> </w:t>
      </w:r>
      <w:r w:rsidRPr="003A59C0">
        <w:rPr>
          <w:rFonts w:ascii="Times New Roman" w:hAnsi="Times New Roman" w:cs="Times New Roman"/>
          <w:sz w:val="24"/>
          <w:szCs w:val="24"/>
        </w:rPr>
        <w:t>conditions and developments</w:t>
      </w:r>
      <w:r w:rsidR="009D4CE8" w:rsidRPr="003A59C0">
        <w:rPr>
          <w:rFonts w:ascii="Times New Roman" w:hAnsi="Times New Roman" w:cs="Times New Roman"/>
          <w:sz w:val="24"/>
          <w:szCs w:val="24"/>
        </w:rPr>
        <w:t>, and broader political, economic and social goals</w:t>
      </w:r>
      <w:r w:rsidRPr="003A59C0">
        <w:rPr>
          <w:rFonts w:ascii="Times New Roman" w:hAnsi="Times New Roman" w:cs="Times New Roman"/>
          <w:sz w:val="24"/>
          <w:szCs w:val="24"/>
        </w:rPr>
        <w:t xml:space="preserve"> in national systems</w:t>
      </w:r>
      <w:r w:rsidR="009D4CE8" w:rsidRPr="003A59C0">
        <w:rPr>
          <w:rFonts w:ascii="Times New Roman" w:hAnsi="Times New Roman" w:cs="Times New Roman"/>
          <w:sz w:val="24"/>
          <w:szCs w:val="24"/>
        </w:rPr>
        <w:t>. Slovenia, Croatia, Serbia and Albania, the four Western Balkan countries considered in this article, all l</w:t>
      </w:r>
      <w:r w:rsidR="00DD2B46" w:rsidRPr="003A59C0">
        <w:rPr>
          <w:rFonts w:ascii="Times New Roman" w:hAnsi="Times New Roman" w:cs="Times New Roman"/>
          <w:sz w:val="24"/>
          <w:szCs w:val="24"/>
        </w:rPr>
        <w:t xml:space="preserve">ie at the European ‘periphery’, and are of a relatively small size in terms of territory, economy and HE systems. All of them underwent a transition from some-type of a centrally planned economy to a more market oriented one, within a democratic political framework. </w:t>
      </w:r>
      <w:r w:rsidR="009D4CE8" w:rsidRPr="003A59C0">
        <w:rPr>
          <w:rFonts w:ascii="Times New Roman" w:hAnsi="Times New Roman" w:cs="Times New Roman"/>
          <w:sz w:val="24"/>
          <w:szCs w:val="24"/>
        </w:rPr>
        <w:t xml:space="preserve">And in all, </w:t>
      </w:r>
      <w:r w:rsidR="00DD2B46" w:rsidRPr="003A59C0">
        <w:rPr>
          <w:rFonts w:ascii="Times New Roman" w:hAnsi="Times New Roman" w:cs="Times New Roman"/>
          <w:sz w:val="24"/>
          <w:szCs w:val="24"/>
        </w:rPr>
        <w:t>the HE landscape is changing at a rapid pace. Substantial HE reforms have been undertaken since 1990ies prompted by political and economic reforms (and in the case of former Yugoslav repu</w:t>
      </w:r>
      <w:r w:rsidR="009D4CE8" w:rsidRPr="003A59C0">
        <w:rPr>
          <w:rFonts w:ascii="Times New Roman" w:hAnsi="Times New Roman" w:cs="Times New Roman"/>
          <w:sz w:val="24"/>
          <w:szCs w:val="24"/>
        </w:rPr>
        <w:t xml:space="preserve">blics also statehood-building) and </w:t>
      </w:r>
      <w:r w:rsidR="00DD2B46" w:rsidRPr="003A59C0">
        <w:rPr>
          <w:rFonts w:ascii="Times New Roman" w:hAnsi="Times New Roman" w:cs="Times New Roman"/>
          <w:sz w:val="24"/>
          <w:szCs w:val="24"/>
        </w:rPr>
        <w:t>massification of student demand for educational services (Zgaga</w:t>
      </w:r>
      <w:r w:rsidR="009D4CE8" w:rsidRPr="003A59C0">
        <w:rPr>
          <w:rFonts w:ascii="Times New Roman" w:hAnsi="Times New Roman" w:cs="Times New Roman"/>
          <w:sz w:val="24"/>
          <w:szCs w:val="24"/>
        </w:rPr>
        <w:t xml:space="preserve"> 2010,</w:t>
      </w:r>
      <w:r w:rsidR="00DD2B46" w:rsidRPr="003A59C0">
        <w:rPr>
          <w:rFonts w:ascii="Times New Roman" w:hAnsi="Times New Roman" w:cs="Times New Roman"/>
          <w:sz w:val="24"/>
          <w:szCs w:val="24"/>
        </w:rPr>
        <w:t xml:space="preserve"> 2012). </w:t>
      </w:r>
    </w:p>
    <w:p w:rsidR="008C7D37" w:rsidRPr="003A59C0" w:rsidRDefault="000818C5"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At the same time, </w:t>
      </w:r>
      <w:r w:rsidR="009D4CE8" w:rsidRPr="003A59C0">
        <w:rPr>
          <w:rFonts w:ascii="Times New Roman" w:hAnsi="Times New Roman" w:cs="Times New Roman"/>
          <w:sz w:val="24"/>
          <w:szCs w:val="24"/>
        </w:rPr>
        <w:t>the impulses for domestic HE reforms come from abroad. T</w:t>
      </w:r>
      <w:r w:rsidRPr="003A59C0">
        <w:rPr>
          <w:rFonts w:ascii="Times New Roman" w:hAnsi="Times New Roman" w:cs="Times New Roman"/>
          <w:sz w:val="24"/>
          <w:szCs w:val="24"/>
        </w:rPr>
        <w:t xml:space="preserve">he environment which </w:t>
      </w:r>
      <w:r w:rsidR="009D4CE8" w:rsidRPr="003A59C0">
        <w:rPr>
          <w:rFonts w:ascii="Times New Roman" w:hAnsi="Times New Roman" w:cs="Times New Roman"/>
          <w:sz w:val="24"/>
          <w:szCs w:val="24"/>
        </w:rPr>
        <w:t xml:space="preserve">shapes what is valued by governments (and institutions) and </w:t>
      </w:r>
      <w:r w:rsidRPr="003A59C0">
        <w:rPr>
          <w:rFonts w:ascii="Times New Roman" w:hAnsi="Times New Roman" w:cs="Times New Roman"/>
          <w:sz w:val="24"/>
          <w:szCs w:val="24"/>
        </w:rPr>
        <w:t xml:space="preserve">influences </w:t>
      </w:r>
      <w:r w:rsidR="009D4CE8" w:rsidRPr="003A59C0">
        <w:rPr>
          <w:rFonts w:ascii="Times New Roman" w:hAnsi="Times New Roman" w:cs="Times New Roman"/>
          <w:sz w:val="24"/>
          <w:szCs w:val="24"/>
        </w:rPr>
        <w:t xml:space="preserve">their </w:t>
      </w:r>
      <w:r w:rsidRPr="003A59C0">
        <w:rPr>
          <w:rFonts w:ascii="Times New Roman" w:hAnsi="Times New Roman" w:cs="Times New Roman"/>
          <w:sz w:val="24"/>
          <w:szCs w:val="24"/>
        </w:rPr>
        <w:t xml:space="preserve">behaviour extends from national to international context. Indeed, the </w:t>
      </w:r>
      <w:r w:rsidR="009D4CE8" w:rsidRPr="003A59C0">
        <w:rPr>
          <w:rFonts w:ascii="Times New Roman" w:hAnsi="Times New Roman" w:cs="Times New Roman"/>
          <w:sz w:val="24"/>
          <w:szCs w:val="24"/>
        </w:rPr>
        <w:t xml:space="preserve">recommendations coming from the </w:t>
      </w:r>
      <w:r w:rsidRPr="003A59C0">
        <w:rPr>
          <w:rFonts w:ascii="Times New Roman" w:hAnsi="Times New Roman" w:cs="Times New Roman"/>
          <w:sz w:val="24"/>
          <w:szCs w:val="24"/>
        </w:rPr>
        <w:t xml:space="preserve">Bologna Process and the EU initiatives such as the Lisbon Agenda (and its EU Modernisation agenda for universities) </w:t>
      </w:r>
      <w:r w:rsidR="00CB1D23" w:rsidRPr="003A59C0">
        <w:rPr>
          <w:rFonts w:ascii="Times New Roman" w:hAnsi="Times New Roman" w:cs="Times New Roman"/>
          <w:sz w:val="24"/>
          <w:szCs w:val="24"/>
        </w:rPr>
        <w:t>resonate in</w:t>
      </w:r>
      <w:r w:rsidRPr="003A59C0">
        <w:rPr>
          <w:rFonts w:ascii="Times New Roman" w:hAnsi="Times New Roman" w:cs="Times New Roman"/>
          <w:sz w:val="24"/>
          <w:szCs w:val="24"/>
        </w:rPr>
        <w:t xml:space="preserve"> national governments’ decisions on what are viable and – indeed – desirable HE policies. </w:t>
      </w:r>
      <w:r w:rsidR="00CB1D23" w:rsidRPr="003A59C0">
        <w:rPr>
          <w:rFonts w:ascii="Times New Roman" w:hAnsi="Times New Roman" w:cs="Times New Roman"/>
          <w:sz w:val="24"/>
          <w:szCs w:val="24"/>
        </w:rPr>
        <w:t>The key question investigated in this article is to what extent national policy developments reflect the European recommendations on institutional diversification. In other words, to what extent can we speak about Europeanisation in the sense of policy adaptation and institutional change towards institutional diversity?</w:t>
      </w:r>
    </w:p>
    <w:p w:rsidR="00CB1D23" w:rsidRPr="003A59C0" w:rsidRDefault="00CB1D23" w:rsidP="00CB1D23">
      <w:pPr>
        <w:pStyle w:val="Heading1"/>
        <w:rPr>
          <w:rFonts w:ascii="Times New Roman" w:hAnsi="Times New Roman" w:cs="Times New Roman"/>
          <w:sz w:val="24"/>
          <w:szCs w:val="24"/>
        </w:rPr>
      </w:pPr>
      <w:r w:rsidRPr="003A59C0">
        <w:rPr>
          <w:rFonts w:ascii="Times New Roman" w:hAnsi="Times New Roman" w:cs="Times New Roman"/>
          <w:sz w:val="24"/>
          <w:szCs w:val="24"/>
        </w:rPr>
        <w:t>Conceptualising Europeanisation</w:t>
      </w:r>
    </w:p>
    <w:p w:rsidR="008C7D37" w:rsidRPr="003A59C0" w:rsidRDefault="000B283A"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In European </w:t>
      </w:r>
      <w:r w:rsidR="008C7D37" w:rsidRPr="003A59C0">
        <w:rPr>
          <w:rFonts w:ascii="Times New Roman" w:hAnsi="Times New Roman" w:cs="Times New Roman"/>
          <w:sz w:val="24"/>
          <w:szCs w:val="24"/>
        </w:rPr>
        <w:t xml:space="preserve">studies, there is a widespread Europeanisation research investigating the </w:t>
      </w:r>
      <w:r w:rsidRPr="003A59C0">
        <w:rPr>
          <w:rFonts w:ascii="Times New Roman" w:hAnsi="Times New Roman" w:cs="Times New Roman"/>
          <w:sz w:val="24"/>
          <w:szCs w:val="24"/>
        </w:rPr>
        <w:t>EU</w:t>
      </w:r>
      <w:r w:rsidR="00CB1D23" w:rsidRPr="003A59C0">
        <w:rPr>
          <w:rFonts w:ascii="Times New Roman" w:hAnsi="Times New Roman" w:cs="Times New Roman"/>
          <w:sz w:val="24"/>
          <w:szCs w:val="24"/>
        </w:rPr>
        <w:t>’s</w:t>
      </w:r>
      <w:r w:rsidR="008C7D37" w:rsidRPr="003A59C0">
        <w:rPr>
          <w:rFonts w:ascii="Times New Roman" w:hAnsi="Times New Roman" w:cs="Times New Roman"/>
          <w:sz w:val="24"/>
          <w:szCs w:val="24"/>
        </w:rPr>
        <w:t xml:space="preserve"> impact on the domestic policies, institutions, and political processes of member and prospective member states (Börzel and Risse 2012, 1</w:t>
      </w:r>
      <w:r w:rsidR="00CB1D23" w:rsidRPr="003A59C0">
        <w:rPr>
          <w:rFonts w:ascii="Times New Roman" w:hAnsi="Times New Roman" w:cs="Times New Roman"/>
          <w:sz w:val="24"/>
          <w:szCs w:val="24"/>
        </w:rPr>
        <w:t>; for an elaborate literature review see Vukasović 2012</w:t>
      </w:r>
      <w:r w:rsidR="008C7D37" w:rsidRPr="003A59C0">
        <w:rPr>
          <w:rFonts w:ascii="Times New Roman" w:hAnsi="Times New Roman" w:cs="Times New Roman"/>
          <w:sz w:val="24"/>
          <w:szCs w:val="24"/>
        </w:rPr>
        <w:t xml:space="preserve">). The mechanisms of </w:t>
      </w:r>
      <w:r w:rsidRPr="003A59C0">
        <w:rPr>
          <w:rFonts w:ascii="Times New Roman" w:hAnsi="Times New Roman" w:cs="Times New Roman"/>
          <w:sz w:val="24"/>
          <w:szCs w:val="24"/>
        </w:rPr>
        <w:t xml:space="preserve">international </w:t>
      </w:r>
      <w:r w:rsidR="008C7D37" w:rsidRPr="003A59C0">
        <w:rPr>
          <w:rFonts w:ascii="Times New Roman" w:hAnsi="Times New Roman" w:cs="Times New Roman"/>
          <w:sz w:val="24"/>
          <w:szCs w:val="24"/>
        </w:rPr>
        <w:t xml:space="preserve">influence on domestic institutional change span from direct mechanisms of influence, such as legislative coercion, positive and negative incentives, socialisation and persuasion to indirect mechanisms of emulation (Börzel and Risse 2012). The main difference between the direct and indirect mechanisms, as stipulated in diffusion approach, is in determining the active agent of diffusion. In direct mechanisms of influence, the EU (or other international actors) actively tries to diffuse their ideas into the national context. At the same time, the agents at the receiving end are not ‘simply passive recipients of EU policies and institutions’ (Börzel and Risse 2012, 8). Rather, the process of the adoption of and adaptation to </w:t>
      </w:r>
      <w:r w:rsidRPr="003A59C0">
        <w:rPr>
          <w:rFonts w:ascii="Times New Roman" w:hAnsi="Times New Roman" w:cs="Times New Roman"/>
          <w:sz w:val="24"/>
          <w:szCs w:val="24"/>
        </w:rPr>
        <w:t>international</w:t>
      </w:r>
      <w:r w:rsidR="008C7D37" w:rsidRPr="003A59C0">
        <w:rPr>
          <w:rFonts w:ascii="Times New Roman" w:hAnsi="Times New Roman" w:cs="Times New Roman"/>
          <w:sz w:val="24"/>
          <w:szCs w:val="24"/>
        </w:rPr>
        <w:t xml:space="preserve"> recommendations mostly involve active processes of ‘interpretation, incorporation […], and also resistance’ (ibid.). In contrast, the indirect mechanism of emulation does not presuppose a necessary active and direct involvement of the </w:t>
      </w:r>
      <w:r w:rsidRPr="003A59C0">
        <w:rPr>
          <w:rFonts w:ascii="Times New Roman" w:hAnsi="Times New Roman" w:cs="Times New Roman"/>
          <w:sz w:val="24"/>
          <w:szCs w:val="24"/>
        </w:rPr>
        <w:t>international actor</w:t>
      </w:r>
      <w:r w:rsidR="008C7D37" w:rsidRPr="003A59C0">
        <w:rPr>
          <w:rFonts w:ascii="Times New Roman" w:hAnsi="Times New Roman" w:cs="Times New Roman"/>
          <w:sz w:val="24"/>
          <w:szCs w:val="24"/>
        </w:rPr>
        <w:t xml:space="preserve">. Emulation can happen because domestic agents are actively seeking solutions to solve particular domestic problems and find best practices that could be transferable into domestic context (ibid.).  </w:t>
      </w:r>
    </w:p>
    <w:p w:rsidR="002F7A90" w:rsidRPr="003A59C0" w:rsidRDefault="00CB1D23" w:rsidP="000818C5">
      <w:pPr>
        <w:jc w:val="both"/>
        <w:rPr>
          <w:rFonts w:ascii="Times New Roman" w:hAnsi="Times New Roman" w:cs="Times New Roman"/>
          <w:sz w:val="24"/>
          <w:szCs w:val="24"/>
        </w:rPr>
      </w:pPr>
      <w:r w:rsidRPr="003A59C0">
        <w:rPr>
          <w:rFonts w:ascii="Times New Roman" w:hAnsi="Times New Roman" w:cs="Times New Roman"/>
          <w:sz w:val="24"/>
          <w:szCs w:val="24"/>
        </w:rPr>
        <w:t>Socialisation through political dialogue and technical cooperation and p</w:t>
      </w:r>
      <w:r w:rsidR="00AD1BEE" w:rsidRPr="003A59C0">
        <w:rPr>
          <w:rFonts w:ascii="Times New Roman" w:hAnsi="Times New Roman" w:cs="Times New Roman"/>
          <w:sz w:val="24"/>
          <w:szCs w:val="24"/>
        </w:rPr>
        <w:t xml:space="preserve">ersuasion </w:t>
      </w:r>
      <w:r w:rsidRPr="003A59C0">
        <w:rPr>
          <w:rFonts w:ascii="Times New Roman" w:hAnsi="Times New Roman" w:cs="Times New Roman"/>
          <w:sz w:val="24"/>
          <w:szCs w:val="24"/>
        </w:rPr>
        <w:t>through recommendations, country reports, and stocktaking reports are</w:t>
      </w:r>
      <w:r w:rsidR="00AD1BEE" w:rsidRPr="003A59C0">
        <w:rPr>
          <w:rFonts w:ascii="Times New Roman" w:hAnsi="Times New Roman" w:cs="Times New Roman"/>
          <w:sz w:val="24"/>
          <w:szCs w:val="24"/>
        </w:rPr>
        <w:t xml:space="preserve"> common mechanism applied by the EU </w:t>
      </w:r>
      <w:r w:rsidRPr="003A59C0">
        <w:rPr>
          <w:rFonts w:ascii="Times New Roman" w:hAnsi="Times New Roman" w:cs="Times New Roman"/>
          <w:sz w:val="24"/>
          <w:szCs w:val="24"/>
        </w:rPr>
        <w:t xml:space="preserve">to diffuse their recommendations into domestic context. </w:t>
      </w:r>
      <w:r w:rsidR="002F7A90" w:rsidRPr="003A59C0">
        <w:rPr>
          <w:rFonts w:ascii="Times New Roman" w:hAnsi="Times New Roman" w:cs="Times New Roman"/>
          <w:sz w:val="24"/>
          <w:szCs w:val="24"/>
        </w:rPr>
        <w:t>In domains of HE policy, the EU cannot apply legislative coercion as member states have not transferred decision-making powers to the EU institutions. EU cooperation in education and training is conducted through t</w:t>
      </w:r>
      <w:r w:rsidR="00AD1BEE" w:rsidRPr="003A59C0">
        <w:rPr>
          <w:rFonts w:ascii="Times New Roman" w:hAnsi="Times New Roman" w:cs="Times New Roman"/>
          <w:sz w:val="24"/>
          <w:szCs w:val="24"/>
        </w:rPr>
        <w:t>he open method of cooperation which is based on common objectives, reference tools and approaches, and draws on mutual (peer) learning and the exchange of good practice, periodic monitoring and reporting</w:t>
      </w:r>
      <w:r w:rsidR="00647C52" w:rsidRPr="003A59C0">
        <w:rPr>
          <w:rFonts w:ascii="Times New Roman" w:hAnsi="Times New Roman" w:cs="Times New Roman"/>
          <w:sz w:val="24"/>
          <w:szCs w:val="24"/>
        </w:rPr>
        <w:t xml:space="preserve"> </w:t>
      </w:r>
      <w:r w:rsidR="00AD1BEE" w:rsidRPr="003A59C0">
        <w:rPr>
          <w:rFonts w:ascii="Times New Roman" w:hAnsi="Times New Roman" w:cs="Times New Roman"/>
          <w:sz w:val="24"/>
          <w:szCs w:val="24"/>
        </w:rPr>
        <w:t>(</w:t>
      </w:r>
      <w:r w:rsidRPr="003A59C0">
        <w:rPr>
          <w:rFonts w:ascii="Times New Roman" w:hAnsi="Times New Roman" w:cs="Times New Roman"/>
          <w:sz w:val="24"/>
          <w:szCs w:val="24"/>
        </w:rPr>
        <w:t>European Council 2009; EC 2008c</w:t>
      </w:r>
      <w:r w:rsidR="001A2791" w:rsidRPr="003A59C0">
        <w:rPr>
          <w:rFonts w:ascii="Times New Roman" w:hAnsi="Times New Roman" w:cs="Times New Roman"/>
          <w:sz w:val="24"/>
          <w:szCs w:val="24"/>
        </w:rPr>
        <w:t>; Gornitzka 2005</w:t>
      </w:r>
      <w:r w:rsidR="00AD1BEE" w:rsidRPr="003A59C0">
        <w:rPr>
          <w:rFonts w:ascii="Times New Roman" w:hAnsi="Times New Roman" w:cs="Times New Roman"/>
          <w:sz w:val="24"/>
          <w:szCs w:val="24"/>
        </w:rPr>
        <w:t xml:space="preserve">). The underlying expectation is that through communication, socialization, social learning and peer pressure non-coercive transposition of norms, ideas, and collective understandings will take place across participating countries. </w:t>
      </w:r>
    </w:p>
    <w:p w:rsidR="00A55B73" w:rsidRPr="003A59C0" w:rsidRDefault="00A55B73"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In addition, the EU routinely uses positive incentives in the form of technical and financial assistance towards capacity building. Capacity building provides targeted actors (governments and institutions) with resources to either begin certain reforms or to support the reforms that have already begun (cf. Börzel and Risse 2012). </w:t>
      </w:r>
      <w:r w:rsidR="002F7A90" w:rsidRPr="003A59C0">
        <w:rPr>
          <w:rFonts w:ascii="Times New Roman" w:hAnsi="Times New Roman" w:cs="Times New Roman"/>
          <w:sz w:val="24"/>
          <w:szCs w:val="24"/>
        </w:rPr>
        <w:t>Over the last decade, HE reforms have been</w:t>
      </w:r>
      <w:r w:rsidRPr="003A59C0">
        <w:rPr>
          <w:rFonts w:ascii="Times New Roman" w:hAnsi="Times New Roman" w:cs="Times New Roman"/>
          <w:sz w:val="24"/>
          <w:szCs w:val="24"/>
        </w:rPr>
        <w:t xml:space="preserve"> supported through several funding lines: Lifelong Learning Programme, the Tempus programme and the EU's programme for worldwide academic cooperation: Erasmus Mundus, the 7th EU Framework Programme for Research, but also the less known ones like the Instrumen</w:t>
      </w:r>
      <w:r w:rsidR="00811373" w:rsidRPr="003A59C0">
        <w:rPr>
          <w:rFonts w:ascii="Times New Roman" w:hAnsi="Times New Roman" w:cs="Times New Roman"/>
          <w:sz w:val="24"/>
          <w:szCs w:val="24"/>
        </w:rPr>
        <w:t>t for Pre-accession Assistance [IPA]</w:t>
      </w:r>
      <w:r w:rsidRPr="003A59C0">
        <w:rPr>
          <w:rFonts w:ascii="Times New Roman" w:hAnsi="Times New Roman" w:cs="Times New Roman"/>
          <w:sz w:val="24"/>
          <w:szCs w:val="24"/>
        </w:rPr>
        <w:t xml:space="preserve">, the European Neighbourhood and Partnership Instrument and the Development </w:t>
      </w:r>
      <w:r w:rsidR="00811373" w:rsidRPr="003A59C0">
        <w:rPr>
          <w:rFonts w:ascii="Times New Roman" w:hAnsi="Times New Roman" w:cs="Times New Roman"/>
          <w:sz w:val="24"/>
          <w:szCs w:val="24"/>
        </w:rPr>
        <w:t xml:space="preserve">Cooperation Instrument </w:t>
      </w:r>
      <w:r w:rsidR="00647C52" w:rsidRPr="003A59C0">
        <w:rPr>
          <w:rFonts w:ascii="Times New Roman" w:hAnsi="Times New Roman" w:cs="Times New Roman"/>
          <w:sz w:val="24"/>
          <w:szCs w:val="24"/>
        </w:rPr>
        <w:t>(</w:t>
      </w:r>
      <w:r w:rsidR="002F7A90" w:rsidRPr="003A59C0">
        <w:rPr>
          <w:rFonts w:ascii="Times New Roman" w:hAnsi="Times New Roman" w:cs="Times New Roman"/>
          <w:sz w:val="24"/>
          <w:szCs w:val="24"/>
        </w:rPr>
        <w:t>European Union</w:t>
      </w:r>
      <w:r w:rsidRPr="003A59C0">
        <w:rPr>
          <w:rFonts w:ascii="Times New Roman" w:hAnsi="Times New Roman" w:cs="Times New Roman"/>
          <w:sz w:val="24"/>
          <w:szCs w:val="24"/>
        </w:rPr>
        <w:t xml:space="preserve"> 2010). </w:t>
      </w:r>
      <w:r w:rsidR="00B864FD" w:rsidRPr="003A59C0">
        <w:rPr>
          <w:rFonts w:ascii="Times New Roman" w:hAnsi="Times New Roman" w:cs="Times New Roman"/>
          <w:sz w:val="24"/>
          <w:szCs w:val="24"/>
        </w:rPr>
        <w:t xml:space="preserve">Perhaps one of the most structured mechanisms of </w:t>
      </w:r>
      <w:r w:rsidR="002F7A90" w:rsidRPr="003A59C0">
        <w:rPr>
          <w:rFonts w:ascii="Times New Roman" w:hAnsi="Times New Roman" w:cs="Times New Roman"/>
          <w:sz w:val="24"/>
          <w:szCs w:val="24"/>
        </w:rPr>
        <w:t>assistance</w:t>
      </w:r>
      <w:r w:rsidR="00B864FD" w:rsidRPr="003A59C0">
        <w:rPr>
          <w:rFonts w:ascii="Times New Roman" w:hAnsi="Times New Roman" w:cs="Times New Roman"/>
          <w:sz w:val="24"/>
          <w:szCs w:val="24"/>
        </w:rPr>
        <w:t xml:space="preserve"> is the Higher Education Reform Project funded by the EC which provides several trainings and thematic seminars for the National Teams of Bologna Experts and of the Higher Education Reform Experts in Tempus partner countries as well as other categories of persons involved in the modernisation of HE.</w:t>
      </w:r>
      <w:r w:rsidR="00B864FD" w:rsidRPr="003A59C0">
        <w:rPr>
          <w:rStyle w:val="FootnoteReference"/>
          <w:rFonts w:ascii="Times New Roman" w:hAnsi="Times New Roman" w:cs="Times New Roman"/>
          <w:sz w:val="24"/>
          <w:szCs w:val="24"/>
        </w:rPr>
        <w:footnoteReference w:id="1"/>
      </w:r>
      <w:r w:rsidR="001A2791" w:rsidRPr="003A59C0">
        <w:rPr>
          <w:rFonts w:ascii="Times New Roman" w:hAnsi="Times New Roman" w:cs="Times New Roman"/>
          <w:sz w:val="24"/>
          <w:szCs w:val="24"/>
        </w:rPr>
        <w:t xml:space="preserve"> </w:t>
      </w:r>
      <w:r w:rsidRPr="003A59C0">
        <w:rPr>
          <w:rFonts w:ascii="Times New Roman" w:hAnsi="Times New Roman" w:cs="Times New Roman"/>
          <w:sz w:val="24"/>
          <w:szCs w:val="24"/>
        </w:rPr>
        <w:t xml:space="preserve">The Western Balkans countries are all subject to intense </w:t>
      </w:r>
      <w:r w:rsidR="002F7A90" w:rsidRPr="003A59C0">
        <w:rPr>
          <w:rFonts w:ascii="Times New Roman" w:hAnsi="Times New Roman" w:cs="Times New Roman"/>
          <w:sz w:val="24"/>
          <w:szCs w:val="24"/>
        </w:rPr>
        <w:t xml:space="preserve">EU </w:t>
      </w:r>
      <w:r w:rsidRPr="003A59C0">
        <w:rPr>
          <w:rFonts w:ascii="Times New Roman" w:hAnsi="Times New Roman" w:cs="Times New Roman"/>
          <w:sz w:val="24"/>
          <w:szCs w:val="24"/>
        </w:rPr>
        <w:t>intervention in terms of financial and expert support; albeit to varying degrees and through different mechanisms in different countries</w:t>
      </w:r>
      <w:r w:rsidR="002F7A90" w:rsidRPr="003A59C0">
        <w:rPr>
          <w:rFonts w:ascii="Times New Roman" w:hAnsi="Times New Roman" w:cs="Times New Roman"/>
          <w:sz w:val="24"/>
          <w:szCs w:val="24"/>
        </w:rPr>
        <w:t xml:space="preserve"> (Vukasović 2012)</w:t>
      </w:r>
      <w:r w:rsidRPr="003A59C0">
        <w:rPr>
          <w:rFonts w:ascii="Times New Roman" w:hAnsi="Times New Roman" w:cs="Times New Roman"/>
          <w:sz w:val="24"/>
          <w:szCs w:val="24"/>
        </w:rPr>
        <w:t xml:space="preserve">. Slovenia and Croatia are both an EU member and a candidate member </w:t>
      </w:r>
      <w:r w:rsidR="001A2791" w:rsidRPr="003A59C0">
        <w:rPr>
          <w:rFonts w:ascii="Times New Roman" w:hAnsi="Times New Roman" w:cs="Times New Roman"/>
          <w:sz w:val="24"/>
          <w:szCs w:val="24"/>
        </w:rPr>
        <w:t xml:space="preserve">- </w:t>
      </w:r>
      <w:r w:rsidRPr="003A59C0">
        <w:rPr>
          <w:rFonts w:ascii="Times New Roman" w:hAnsi="Times New Roman" w:cs="Times New Roman"/>
          <w:sz w:val="24"/>
          <w:szCs w:val="24"/>
        </w:rPr>
        <w:t>expected to join in 2013</w:t>
      </w:r>
      <w:r w:rsidR="001A2791" w:rsidRPr="003A59C0">
        <w:rPr>
          <w:rFonts w:ascii="Times New Roman" w:hAnsi="Times New Roman" w:cs="Times New Roman"/>
          <w:sz w:val="24"/>
          <w:szCs w:val="24"/>
        </w:rPr>
        <w:t xml:space="preserve"> -</w:t>
      </w:r>
      <w:r w:rsidRPr="003A59C0">
        <w:rPr>
          <w:rFonts w:ascii="Times New Roman" w:hAnsi="Times New Roman" w:cs="Times New Roman"/>
          <w:sz w:val="24"/>
          <w:szCs w:val="24"/>
        </w:rPr>
        <w:t xml:space="preserve"> and as such subject to EU regulations and eligible for all EU funding. Serbia as a candidate country since 2012 and Albania in the pre-accession stage both rely especially on TEMPUS, Erasmus Mundus and IPA funding</w:t>
      </w:r>
      <w:r w:rsidR="001A2791" w:rsidRPr="003A59C0">
        <w:rPr>
          <w:rFonts w:ascii="Times New Roman" w:hAnsi="Times New Roman" w:cs="Times New Roman"/>
          <w:sz w:val="24"/>
          <w:szCs w:val="24"/>
        </w:rPr>
        <w:t>. S</w:t>
      </w:r>
      <w:r w:rsidRPr="003A59C0">
        <w:rPr>
          <w:rFonts w:ascii="Times New Roman" w:hAnsi="Times New Roman" w:cs="Times New Roman"/>
          <w:sz w:val="24"/>
          <w:szCs w:val="24"/>
        </w:rPr>
        <w:t>ince 2007 they also pa</w:t>
      </w:r>
      <w:r w:rsidR="00811373" w:rsidRPr="003A59C0">
        <w:rPr>
          <w:rFonts w:ascii="Times New Roman" w:hAnsi="Times New Roman" w:cs="Times New Roman"/>
          <w:sz w:val="24"/>
          <w:szCs w:val="24"/>
        </w:rPr>
        <w:t>rticipate in the 7th Framework P</w:t>
      </w:r>
      <w:r w:rsidRPr="003A59C0">
        <w:rPr>
          <w:rFonts w:ascii="Times New Roman" w:hAnsi="Times New Roman" w:cs="Times New Roman"/>
          <w:sz w:val="24"/>
          <w:szCs w:val="24"/>
        </w:rPr>
        <w:t xml:space="preserve">rogramme. For Serbia and Albania, funding from private and public donors, such as especially World Bank, is also characteristic. </w:t>
      </w:r>
    </w:p>
    <w:p w:rsidR="00727838" w:rsidRPr="003A59C0" w:rsidRDefault="00820463" w:rsidP="000818C5">
      <w:pPr>
        <w:jc w:val="both"/>
        <w:rPr>
          <w:rFonts w:ascii="Times New Roman" w:hAnsi="Times New Roman" w:cs="Times New Roman"/>
          <w:sz w:val="24"/>
          <w:szCs w:val="24"/>
        </w:rPr>
      </w:pPr>
      <w:r w:rsidRPr="003A59C0">
        <w:rPr>
          <w:rFonts w:ascii="Times New Roman" w:hAnsi="Times New Roman" w:cs="Times New Roman"/>
          <w:sz w:val="24"/>
          <w:szCs w:val="24"/>
        </w:rPr>
        <w:t>The difficulty in Europeanisation studies of change is in establishing clear causal mechanisms as causes range from several international and</w:t>
      </w:r>
      <w:r w:rsidR="00647C52" w:rsidRPr="003A59C0">
        <w:rPr>
          <w:rFonts w:ascii="Times New Roman" w:hAnsi="Times New Roman" w:cs="Times New Roman"/>
          <w:sz w:val="24"/>
          <w:szCs w:val="24"/>
        </w:rPr>
        <w:t xml:space="preserve"> domestic sources (Elken et al.</w:t>
      </w:r>
      <w:r w:rsidR="004F106D" w:rsidRPr="003A59C0">
        <w:rPr>
          <w:rFonts w:ascii="Times New Roman" w:hAnsi="Times New Roman" w:cs="Times New Roman"/>
          <w:sz w:val="24"/>
          <w:szCs w:val="24"/>
        </w:rPr>
        <w:t xml:space="preserve"> 2011</w:t>
      </w:r>
      <w:r w:rsidR="00647C52" w:rsidRPr="003A59C0">
        <w:rPr>
          <w:rFonts w:ascii="Times New Roman" w:hAnsi="Times New Roman" w:cs="Times New Roman"/>
          <w:sz w:val="24"/>
          <w:szCs w:val="24"/>
        </w:rPr>
        <w:t>,</w:t>
      </w:r>
      <w:r w:rsidRPr="003A59C0">
        <w:rPr>
          <w:rFonts w:ascii="Times New Roman" w:hAnsi="Times New Roman" w:cs="Times New Roman"/>
          <w:sz w:val="24"/>
          <w:szCs w:val="24"/>
        </w:rPr>
        <w:t xml:space="preserve"> 27). Acknowledging this difficulty, the analysis in this article is conducted on two levels. First, </w:t>
      </w:r>
      <w:r w:rsidR="006F6105" w:rsidRPr="003A59C0">
        <w:rPr>
          <w:rFonts w:ascii="Times New Roman" w:hAnsi="Times New Roman" w:cs="Times New Roman"/>
          <w:sz w:val="24"/>
          <w:szCs w:val="24"/>
        </w:rPr>
        <w:t xml:space="preserve">the article reviews the key European recommendations towards institutional diversity. </w:t>
      </w:r>
      <w:r w:rsidR="001D44C3" w:rsidRPr="003A59C0">
        <w:rPr>
          <w:rFonts w:ascii="Times New Roman" w:hAnsi="Times New Roman" w:cs="Times New Roman"/>
          <w:sz w:val="24"/>
          <w:szCs w:val="24"/>
        </w:rPr>
        <w:t xml:space="preserve"> In absence of concrete policy proposals from Bologna Ministerial Communiques it focuses on the policy recommendations coming from the </w:t>
      </w:r>
      <w:r w:rsidR="002F7A90" w:rsidRPr="003A59C0">
        <w:rPr>
          <w:rFonts w:ascii="Times New Roman" w:hAnsi="Times New Roman" w:cs="Times New Roman"/>
          <w:sz w:val="24"/>
          <w:szCs w:val="24"/>
        </w:rPr>
        <w:t>EU</w:t>
      </w:r>
      <w:r w:rsidR="001D44C3" w:rsidRPr="003A59C0">
        <w:rPr>
          <w:rFonts w:ascii="Times New Roman" w:hAnsi="Times New Roman" w:cs="Times New Roman"/>
          <w:sz w:val="24"/>
          <w:szCs w:val="24"/>
        </w:rPr>
        <w:t xml:space="preserve">, which are arguably the most elaborate amongst the </w:t>
      </w:r>
      <w:r w:rsidR="002F7A90" w:rsidRPr="003A59C0">
        <w:rPr>
          <w:rFonts w:ascii="Times New Roman" w:hAnsi="Times New Roman" w:cs="Times New Roman"/>
          <w:sz w:val="24"/>
          <w:szCs w:val="24"/>
        </w:rPr>
        <w:t>members</w:t>
      </w:r>
      <w:r w:rsidR="001D44C3" w:rsidRPr="003A59C0">
        <w:rPr>
          <w:rFonts w:ascii="Times New Roman" w:hAnsi="Times New Roman" w:cs="Times New Roman"/>
          <w:sz w:val="24"/>
          <w:szCs w:val="24"/>
        </w:rPr>
        <w:t xml:space="preserve"> the Bologna Process. </w:t>
      </w:r>
      <w:r w:rsidR="0059658F" w:rsidRPr="003A59C0">
        <w:rPr>
          <w:rFonts w:ascii="Times New Roman" w:hAnsi="Times New Roman" w:cs="Times New Roman"/>
          <w:sz w:val="24"/>
          <w:szCs w:val="24"/>
        </w:rPr>
        <w:t xml:space="preserve">As indicated already earlier, the EC is a particularly vocal advocate of institutional differentiation. </w:t>
      </w:r>
      <w:r w:rsidR="00727838" w:rsidRPr="003A59C0">
        <w:rPr>
          <w:rFonts w:ascii="Times New Roman" w:hAnsi="Times New Roman" w:cs="Times New Roman"/>
          <w:sz w:val="24"/>
          <w:szCs w:val="24"/>
        </w:rPr>
        <w:t xml:space="preserve">The </w:t>
      </w:r>
      <w:r w:rsidR="001D44C3" w:rsidRPr="003A59C0">
        <w:rPr>
          <w:rFonts w:ascii="Times New Roman" w:hAnsi="Times New Roman" w:cs="Times New Roman"/>
          <w:sz w:val="24"/>
          <w:szCs w:val="24"/>
        </w:rPr>
        <w:t xml:space="preserve">key question here is what EU’s position on institutional diversity is and what policy instruments it advocates. </w:t>
      </w:r>
      <w:r w:rsidR="00727838" w:rsidRPr="003A59C0">
        <w:rPr>
          <w:rFonts w:ascii="Times New Roman" w:hAnsi="Times New Roman" w:cs="Times New Roman"/>
          <w:sz w:val="24"/>
          <w:szCs w:val="24"/>
        </w:rPr>
        <w:t>Next the analysis moves</w:t>
      </w:r>
      <w:r w:rsidR="001D44C3" w:rsidRPr="003A59C0">
        <w:rPr>
          <w:rFonts w:ascii="Times New Roman" w:hAnsi="Times New Roman" w:cs="Times New Roman"/>
          <w:sz w:val="24"/>
          <w:szCs w:val="24"/>
        </w:rPr>
        <w:t xml:space="preserve"> to the national level </w:t>
      </w:r>
      <w:r w:rsidR="0059658F" w:rsidRPr="003A59C0">
        <w:rPr>
          <w:rFonts w:ascii="Times New Roman" w:hAnsi="Times New Roman" w:cs="Times New Roman"/>
          <w:sz w:val="24"/>
          <w:szCs w:val="24"/>
        </w:rPr>
        <w:t xml:space="preserve">investigating </w:t>
      </w:r>
      <w:r w:rsidR="001D44C3" w:rsidRPr="003A59C0">
        <w:rPr>
          <w:rFonts w:ascii="Times New Roman" w:hAnsi="Times New Roman" w:cs="Times New Roman"/>
          <w:sz w:val="24"/>
          <w:szCs w:val="24"/>
        </w:rPr>
        <w:t>and national regulatory and strategic documents within the past decade</w:t>
      </w:r>
      <w:r w:rsidR="0059658F" w:rsidRPr="003A59C0">
        <w:rPr>
          <w:rFonts w:ascii="Times New Roman" w:hAnsi="Times New Roman" w:cs="Times New Roman"/>
          <w:sz w:val="24"/>
          <w:szCs w:val="24"/>
        </w:rPr>
        <w:t xml:space="preserve"> and tracing </w:t>
      </w:r>
      <w:r w:rsidR="001D44C3" w:rsidRPr="003A59C0">
        <w:rPr>
          <w:rFonts w:ascii="Times New Roman" w:hAnsi="Times New Roman" w:cs="Times New Roman"/>
          <w:sz w:val="24"/>
          <w:szCs w:val="24"/>
        </w:rPr>
        <w:t>evidence of European recommendation</w:t>
      </w:r>
      <w:r w:rsidR="00990B7A" w:rsidRPr="003A59C0">
        <w:rPr>
          <w:rFonts w:ascii="Times New Roman" w:hAnsi="Times New Roman" w:cs="Times New Roman"/>
          <w:sz w:val="24"/>
          <w:szCs w:val="24"/>
        </w:rPr>
        <w:t>s</w:t>
      </w:r>
      <w:r w:rsidR="0059658F" w:rsidRPr="003A59C0">
        <w:rPr>
          <w:rFonts w:ascii="Times New Roman" w:hAnsi="Times New Roman" w:cs="Times New Roman"/>
          <w:sz w:val="24"/>
          <w:szCs w:val="24"/>
        </w:rPr>
        <w:t>.</w:t>
      </w:r>
      <w:r w:rsidR="00990B7A" w:rsidRPr="003A59C0">
        <w:rPr>
          <w:rFonts w:ascii="Times New Roman" w:hAnsi="Times New Roman" w:cs="Times New Roman"/>
          <w:sz w:val="24"/>
          <w:szCs w:val="24"/>
        </w:rPr>
        <w:t xml:space="preserve"> </w:t>
      </w:r>
      <w:r w:rsidR="0059658F" w:rsidRPr="003A59C0">
        <w:rPr>
          <w:rFonts w:ascii="Times New Roman" w:hAnsi="Times New Roman" w:cs="Times New Roman"/>
          <w:sz w:val="24"/>
          <w:szCs w:val="24"/>
        </w:rPr>
        <w:t xml:space="preserve">The final section concludes with discussion on the effects of Europeanisation on institutional diversity in the Western Balkans. </w:t>
      </w:r>
    </w:p>
    <w:p w:rsidR="000818C5" w:rsidRPr="003A59C0" w:rsidRDefault="000818C5" w:rsidP="000818C5">
      <w:pPr>
        <w:jc w:val="both"/>
        <w:rPr>
          <w:rFonts w:ascii="Times New Roman" w:hAnsi="Times New Roman" w:cs="Times New Roman"/>
          <w:sz w:val="24"/>
          <w:szCs w:val="24"/>
        </w:rPr>
      </w:pPr>
      <w:r w:rsidRPr="003A59C0">
        <w:rPr>
          <w:rFonts w:ascii="Times New Roman" w:hAnsi="Times New Roman" w:cs="Times New Roman"/>
          <w:sz w:val="24"/>
          <w:szCs w:val="24"/>
        </w:rPr>
        <w:t xml:space="preserve">The data for this </w:t>
      </w:r>
      <w:r w:rsidR="00727838" w:rsidRPr="003A59C0">
        <w:rPr>
          <w:rFonts w:ascii="Times New Roman" w:hAnsi="Times New Roman" w:cs="Times New Roman"/>
          <w:sz w:val="24"/>
          <w:szCs w:val="24"/>
        </w:rPr>
        <w:t>article</w:t>
      </w:r>
      <w:r w:rsidRPr="003A59C0">
        <w:rPr>
          <w:rFonts w:ascii="Times New Roman" w:hAnsi="Times New Roman" w:cs="Times New Roman"/>
          <w:sz w:val="24"/>
          <w:szCs w:val="24"/>
        </w:rPr>
        <w:t xml:space="preserve"> is obtained through content analysis of </w:t>
      </w:r>
      <w:r w:rsidR="00B12384" w:rsidRPr="003A59C0">
        <w:rPr>
          <w:rFonts w:ascii="Times New Roman" w:hAnsi="Times New Roman" w:cs="Times New Roman"/>
          <w:sz w:val="24"/>
          <w:szCs w:val="24"/>
        </w:rPr>
        <w:t xml:space="preserve">regulatory and </w:t>
      </w:r>
      <w:r w:rsidRPr="003A59C0">
        <w:rPr>
          <w:rFonts w:ascii="Times New Roman" w:hAnsi="Times New Roman" w:cs="Times New Roman"/>
          <w:sz w:val="24"/>
          <w:szCs w:val="24"/>
        </w:rPr>
        <w:t>strategic</w:t>
      </w:r>
      <w:r w:rsidR="00B12384" w:rsidRPr="003A59C0">
        <w:rPr>
          <w:rFonts w:ascii="Times New Roman" w:hAnsi="Times New Roman" w:cs="Times New Roman"/>
          <w:sz w:val="24"/>
          <w:szCs w:val="24"/>
        </w:rPr>
        <w:t xml:space="preserve"> documents and</w:t>
      </w:r>
      <w:r w:rsidRPr="003A59C0">
        <w:rPr>
          <w:rFonts w:ascii="Times New Roman" w:hAnsi="Times New Roman" w:cs="Times New Roman"/>
          <w:sz w:val="24"/>
          <w:szCs w:val="24"/>
        </w:rPr>
        <w:t xml:space="preserve"> interviews </w:t>
      </w:r>
      <w:r w:rsidR="00B12384" w:rsidRPr="003A59C0">
        <w:rPr>
          <w:rFonts w:ascii="Times New Roman" w:hAnsi="Times New Roman" w:cs="Times New Roman"/>
          <w:sz w:val="24"/>
          <w:szCs w:val="24"/>
        </w:rPr>
        <w:t xml:space="preserve">conducted through the project </w:t>
      </w:r>
      <w:r w:rsidR="00DD2B46" w:rsidRPr="003A59C0">
        <w:rPr>
          <w:rFonts w:ascii="Times New Roman" w:hAnsi="Times New Roman" w:cs="Times New Roman"/>
          <w:i/>
          <w:sz w:val="24"/>
          <w:szCs w:val="24"/>
          <w:lang w:eastAsia="sl-SI"/>
        </w:rPr>
        <w:t>Differentiation, Equity, Productivity: The Social and Economic Consequences of Expanded and Differentiated Higher Education Systems – Internationalisation Aspects</w:t>
      </w:r>
      <w:r w:rsidR="00DD2B46" w:rsidRPr="003A59C0">
        <w:rPr>
          <w:rFonts w:ascii="Times New Roman" w:hAnsi="Times New Roman" w:cs="Times New Roman"/>
          <w:sz w:val="24"/>
          <w:szCs w:val="24"/>
          <w:lang w:eastAsia="sl-SI"/>
        </w:rPr>
        <w:t xml:space="preserve"> (DEP-08-EuroHESC-OP-016; 2010–2012) </w:t>
      </w:r>
      <w:r w:rsidRPr="003A59C0">
        <w:rPr>
          <w:rFonts w:ascii="Times New Roman" w:hAnsi="Times New Roman" w:cs="Times New Roman"/>
          <w:sz w:val="24"/>
          <w:szCs w:val="24"/>
        </w:rPr>
        <w:t>(CEPS 2012).</w:t>
      </w:r>
    </w:p>
    <w:p w:rsidR="00C74645" w:rsidRPr="003A59C0" w:rsidRDefault="00C74645" w:rsidP="006E008A">
      <w:pPr>
        <w:pStyle w:val="Heading1"/>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European policy recommendations on institutional diversification</w:t>
      </w:r>
    </w:p>
    <w:p w:rsidR="00C51CD7" w:rsidRPr="003A59C0" w:rsidRDefault="00C51CD7" w:rsidP="006E008A">
      <w:pPr>
        <w:autoSpaceDE w:val="0"/>
        <w:autoSpaceDN w:val="0"/>
        <w:adjustRightInd w:val="0"/>
        <w:spacing w:after="0"/>
        <w:jc w:val="both"/>
        <w:rPr>
          <w:rFonts w:ascii="Times New Roman" w:hAnsi="Times New Roman" w:cs="Times New Roman"/>
          <w:color w:val="000000"/>
          <w:sz w:val="24"/>
          <w:szCs w:val="24"/>
        </w:rPr>
      </w:pPr>
      <w:r w:rsidRPr="003A59C0">
        <w:rPr>
          <w:rFonts w:ascii="Times New Roman" w:hAnsi="Times New Roman" w:cs="Times New Roman"/>
          <w:color w:val="000000"/>
          <w:sz w:val="24"/>
          <w:szCs w:val="24"/>
        </w:rPr>
        <w:t xml:space="preserve">The factors influencing the governments’ choices regarding </w:t>
      </w:r>
      <w:r w:rsidR="00F92032" w:rsidRPr="003A59C0">
        <w:rPr>
          <w:rFonts w:ascii="Times New Roman" w:hAnsi="Times New Roman" w:cs="Times New Roman"/>
          <w:color w:val="000000"/>
          <w:sz w:val="24"/>
          <w:szCs w:val="24"/>
        </w:rPr>
        <w:t>HE</w:t>
      </w:r>
      <w:r w:rsidRPr="003A59C0">
        <w:rPr>
          <w:rFonts w:ascii="Times New Roman" w:hAnsi="Times New Roman" w:cs="Times New Roman"/>
          <w:color w:val="000000"/>
          <w:sz w:val="24"/>
          <w:szCs w:val="24"/>
        </w:rPr>
        <w:t xml:space="preserve"> policy are no longer bound to the national context. Prior to the Bologna Process the national HE policies were formulated using international cross-country comparisons as a tool for reflection (Huisman et al. </w:t>
      </w:r>
      <w:r w:rsidR="006E008A" w:rsidRPr="003A59C0">
        <w:rPr>
          <w:rFonts w:ascii="Times New Roman" w:hAnsi="Times New Roman" w:cs="Times New Roman"/>
          <w:sz w:val="24"/>
          <w:szCs w:val="24"/>
        </w:rPr>
        <w:t>2001</w:t>
      </w:r>
      <w:r w:rsidRPr="003A59C0">
        <w:rPr>
          <w:rFonts w:ascii="Times New Roman" w:hAnsi="Times New Roman" w:cs="Times New Roman"/>
          <w:color w:val="000000"/>
          <w:sz w:val="24"/>
          <w:szCs w:val="24"/>
        </w:rPr>
        <w:t>). After the initiation of the Bologna Process</w:t>
      </w:r>
      <w:r w:rsidR="006F6105" w:rsidRPr="003A59C0">
        <w:rPr>
          <w:rFonts w:ascii="Times New Roman" w:hAnsi="Times New Roman" w:cs="Times New Roman"/>
          <w:color w:val="000000"/>
          <w:sz w:val="24"/>
          <w:szCs w:val="24"/>
        </w:rPr>
        <w:t xml:space="preserve"> in 1999</w:t>
      </w:r>
      <w:r w:rsidRPr="003A59C0">
        <w:rPr>
          <w:rFonts w:ascii="Times New Roman" w:hAnsi="Times New Roman" w:cs="Times New Roman"/>
          <w:color w:val="000000"/>
          <w:sz w:val="24"/>
          <w:szCs w:val="24"/>
        </w:rPr>
        <w:t xml:space="preserve">, a new forum evolved providing a space for various policy issues to emerge, develop and possibly diffuse into the national and institutional levels (Kehm et al. </w:t>
      </w:r>
      <w:r w:rsidR="006E008A" w:rsidRPr="003A59C0">
        <w:rPr>
          <w:rFonts w:ascii="Times New Roman" w:hAnsi="Times New Roman" w:cs="Times New Roman"/>
          <w:sz w:val="24"/>
          <w:szCs w:val="24"/>
        </w:rPr>
        <w:t>2009</w:t>
      </w:r>
      <w:r w:rsidRPr="003A59C0">
        <w:rPr>
          <w:rFonts w:ascii="Times New Roman" w:hAnsi="Times New Roman" w:cs="Times New Roman"/>
          <w:color w:val="000000"/>
          <w:sz w:val="24"/>
          <w:szCs w:val="24"/>
        </w:rPr>
        <w:t>). Indeed, the Bologna Proces</w:t>
      </w:r>
      <w:r w:rsidR="001A2791" w:rsidRPr="003A59C0">
        <w:rPr>
          <w:rFonts w:ascii="Times New Roman" w:hAnsi="Times New Roman" w:cs="Times New Roman"/>
          <w:color w:val="000000"/>
          <w:sz w:val="24"/>
          <w:szCs w:val="24"/>
        </w:rPr>
        <w:t>s transformed HE policy making ‘</w:t>
      </w:r>
      <w:r w:rsidRPr="003A59C0">
        <w:rPr>
          <w:rFonts w:ascii="Times New Roman" w:hAnsi="Times New Roman" w:cs="Times New Roman"/>
          <w:color w:val="000000"/>
          <w:sz w:val="24"/>
          <w:szCs w:val="24"/>
        </w:rPr>
        <w:t xml:space="preserve">from an almost exclusively national affair with some international influences to one where national policy is systematically considered within a Europe-wide framework’ (Westerheijden et al. </w:t>
      </w:r>
      <w:r w:rsidRPr="003A59C0">
        <w:rPr>
          <w:rFonts w:ascii="Times New Roman" w:hAnsi="Times New Roman" w:cs="Times New Roman"/>
          <w:sz w:val="24"/>
          <w:szCs w:val="24"/>
        </w:rPr>
        <w:t>2010</w:t>
      </w:r>
      <w:r w:rsidR="006E008A" w:rsidRPr="003A59C0">
        <w:rPr>
          <w:rFonts w:ascii="Times New Roman" w:hAnsi="Times New Roman" w:cs="Times New Roman"/>
          <w:sz w:val="24"/>
          <w:szCs w:val="24"/>
        </w:rPr>
        <w:t>,</w:t>
      </w:r>
      <w:r w:rsidR="006E008A" w:rsidRPr="003A59C0">
        <w:rPr>
          <w:rFonts w:ascii="Times New Roman" w:hAnsi="Times New Roman" w:cs="Times New Roman"/>
          <w:color w:val="0000FF"/>
          <w:sz w:val="24"/>
          <w:szCs w:val="24"/>
        </w:rPr>
        <w:t xml:space="preserve"> </w:t>
      </w:r>
      <w:r w:rsidRPr="003A59C0">
        <w:rPr>
          <w:rFonts w:ascii="Times New Roman" w:hAnsi="Times New Roman" w:cs="Times New Roman"/>
          <w:color w:val="000000"/>
          <w:sz w:val="24"/>
          <w:szCs w:val="24"/>
        </w:rPr>
        <w:t>38). In the early stages of the Bologna Process, it was effectively Bologna r</w:t>
      </w:r>
      <w:r w:rsidR="001A2791" w:rsidRPr="003A59C0">
        <w:rPr>
          <w:rFonts w:ascii="Times New Roman" w:hAnsi="Times New Roman" w:cs="Times New Roman"/>
          <w:color w:val="000000"/>
          <w:sz w:val="24"/>
          <w:szCs w:val="24"/>
        </w:rPr>
        <w:t>ecommendations that “captured”</w:t>
      </w:r>
      <w:r w:rsidRPr="003A59C0">
        <w:rPr>
          <w:rFonts w:ascii="Times New Roman" w:hAnsi="Times New Roman" w:cs="Times New Roman"/>
          <w:color w:val="000000"/>
          <w:sz w:val="24"/>
          <w:szCs w:val="24"/>
        </w:rPr>
        <w:t xml:space="preserve"> HE reform agenda across EHEA (Gornitzka 2010, 11). Those recommendations have largely focused on the structural convergenc</w:t>
      </w:r>
      <w:r w:rsidR="001A2791" w:rsidRPr="003A59C0">
        <w:rPr>
          <w:rFonts w:ascii="Times New Roman" w:hAnsi="Times New Roman" w:cs="Times New Roman"/>
          <w:color w:val="000000"/>
          <w:sz w:val="24"/>
          <w:szCs w:val="24"/>
        </w:rPr>
        <w:t>e and convergence in terms of quality assurance</w:t>
      </w:r>
      <w:r w:rsidRPr="003A59C0">
        <w:rPr>
          <w:rFonts w:ascii="Times New Roman" w:hAnsi="Times New Roman" w:cs="Times New Roman"/>
          <w:color w:val="000000"/>
          <w:sz w:val="24"/>
          <w:szCs w:val="24"/>
        </w:rPr>
        <w:t xml:space="preserve"> systems in order to support mobility. </w:t>
      </w:r>
      <w:r w:rsidR="006F6105" w:rsidRPr="003A59C0">
        <w:rPr>
          <w:rFonts w:ascii="Times New Roman" w:hAnsi="Times New Roman" w:cs="Times New Roman"/>
          <w:color w:val="000000"/>
          <w:sz w:val="24"/>
          <w:szCs w:val="24"/>
        </w:rPr>
        <w:t xml:space="preserve">Within a couple of year, </w:t>
      </w:r>
      <w:r w:rsidRPr="003A59C0">
        <w:rPr>
          <w:rFonts w:ascii="Times New Roman" w:hAnsi="Times New Roman" w:cs="Times New Roman"/>
          <w:color w:val="000000"/>
          <w:sz w:val="24"/>
          <w:szCs w:val="24"/>
        </w:rPr>
        <w:t>in the – subsumed</w:t>
      </w:r>
      <w:r w:rsidR="00A251D7" w:rsidRPr="003A59C0">
        <w:rPr>
          <w:rFonts w:ascii="Times New Roman" w:hAnsi="Times New Roman" w:cs="Times New Roman"/>
          <w:color w:val="000000"/>
          <w:sz w:val="24"/>
          <w:szCs w:val="24"/>
        </w:rPr>
        <w:t xml:space="preserve"> </w:t>
      </w:r>
      <w:r w:rsidRPr="003A59C0">
        <w:rPr>
          <w:rFonts w:ascii="Times New Roman" w:hAnsi="Times New Roman" w:cs="Times New Roman"/>
          <w:color w:val="000000"/>
          <w:sz w:val="24"/>
          <w:szCs w:val="24"/>
        </w:rPr>
        <w:t xml:space="preserve">– policy arena of the European Union, </w:t>
      </w:r>
      <w:r w:rsidR="006F6105" w:rsidRPr="003A59C0">
        <w:rPr>
          <w:rFonts w:ascii="Times New Roman" w:hAnsi="Times New Roman" w:cs="Times New Roman"/>
          <w:color w:val="000000"/>
          <w:sz w:val="24"/>
          <w:szCs w:val="24"/>
        </w:rPr>
        <w:t>another powerful discourse has been launched putting HE into the centre of</w:t>
      </w:r>
      <w:r w:rsidRPr="003A59C0">
        <w:rPr>
          <w:rFonts w:ascii="Times New Roman" w:hAnsi="Times New Roman" w:cs="Times New Roman"/>
          <w:color w:val="000000"/>
          <w:sz w:val="24"/>
          <w:szCs w:val="24"/>
        </w:rPr>
        <w:t xml:space="preserve"> the economic competitiveness</w:t>
      </w:r>
      <w:r w:rsidR="006F6105" w:rsidRPr="003A59C0">
        <w:rPr>
          <w:rFonts w:ascii="Times New Roman" w:hAnsi="Times New Roman" w:cs="Times New Roman"/>
          <w:color w:val="000000"/>
          <w:sz w:val="24"/>
          <w:szCs w:val="24"/>
        </w:rPr>
        <w:t xml:space="preserve">. </w:t>
      </w:r>
      <w:r w:rsidRPr="003A59C0">
        <w:rPr>
          <w:rFonts w:ascii="Times New Roman" w:hAnsi="Times New Roman" w:cs="Times New Roman"/>
          <w:color w:val="000000"/>
          <w:sz w:val="24"/>
          <w:szCs w:val="24"/>
        </w:rPr>
        <w:t>Lisbon Agenda</w:t>
      </w:r>
      <w:r w:rsidR="006F6105" w:rsidRPr="003A59C0">
        <w:rPr>
          <w:rFonts w:ascii="Times New Roman" w:hAnsi="Times New Roman" w:cs="Times New Roman"/>
          <w:color w:val="000000"/>
          <w:sz w:val="24"/>
          <w:szCs w:val="24"/>
        </w:rPr>
        <w:t>, an influential action and development plan for the European economy,</w:t>
      </w:r>
      <w:r w:rsidRPr="003A59C0">
        <w:rPr>
          <w:rFonts w:ascii="Times New Roman" w:hAnsi="Times New Roman" w:cs="Times New Roman"/>
          <w:color w:val="000000"/>
          <w:sz w:val="24"/>
          <w:szCs w:val="24"/>
        </w:rPr>
        <w:t xml:space="preserve"> paved the way for a </w:t>
      </w:r>
      <w:r w:rsidR="00820463" w:rsidRPr="003A59C0">
        <w:rPr>
          <w:rFonts w:ascii="Times New Roman" w:hAnsi="Times New Roman" w:cs="Times New Roman"/>
          <w:color w:val="000000"/>
          <w:sz w:val="24"/>
          <w:szCs w:val="24"/>
        </w:rPr>
        <w:t>more elaborate</w:t>
      </w:r>
      <w:r w:rsidRPr="003A59C0">
        <w:rPr>
          <w:rFonts w:ascii="Times New Roman" w:hAnsi="Times New Roman" w:cs="Times New Roman"/>
          <w:color w:val="000000"/>
          <w:sz w:val="24"/>
          <w:szCs w:val="24"/>
        </w:rPr>
        <w:t xml:space="preserve"> HE policy to be proposed by the </w:t>
      </w:r>
      <w:r w:rsidR="00A51477" w:rsidRPr="003A59C0">
        <w:rPr>
          <w:rFonts w:ascii="Times New Roman" w:hAnsi="Times New Roman" w:cs="Times New Roman"/>
          <w:color w:val="000000"/>
          <w:sz w:val="24"/>
          <w:szCs w:val="24"/>
        </w:rPr>
        <w:t>EC</w:t>
      </w:r>
      <w:r w:rsidRPr="003A59C0">
        <w:rPr>
          <w:rFonts w:ascii="Times New Roman" w:hAnsi="Times New Roman" w:cs="Times New Roman"/>
          <w:color w:val="000000"/>
          <w:sz w:val="24"/>
          <w:szCs w:val="24"/>
        </w:rPr>
        <w:t>. From 2003, a series of influential policy documents and related financial instruments were develo</w:t>
      </w:r>
      <w:r w:rsidR="00A251D7" w:rsidRPr="003A59C0">
        <w:rPr>
          <w:rFonts w:ascii="Times New Roman" w:hAnsi="Times New Roman" w:cs="Times New Roman"/>
          <w:color w:val="000000"/>
          <w:sz w:val="24"/>
          <w:szCs w:val="24"/>
        </w:rPr>
        <w:t>ped under a general heading of “</w:t>
      </w:r>
      <w:r w:rsidRPr="003A59C0">
        <w:rPr>
          <w:rFonts w:ascii="Times New Roman" w:hAnsi="Times New Roman" w:cs="Times New Roman"/>
          <w:color w:val="000000"/>
          <w:sz w:val="24"/>
          <w:szCs w:val="24"/>
        </w:rPr>
        <w:t xml:space="preserve">HE modernisation </w:t>
      </w:r>
      <w:r w:rsidR="00A251D7" w:rsidRPr="003A59C0">
        <w:rPr>
          <w:rFonts w:ascii="Times New Roman" w:hAnsi="Times New Roman" w:cs="Times New Roman"/>
          <w:color w:val="000000"/>
          <w:sz w:val="24"/>
          <w:szCs w:val="24"/>
        </w:rPr>
        <w:t xml:space="preserve">agenda” </w:t>
      </w:r>
      <w:r w:rsidR="006E008A" w:rsidRPr="003A59C0">
        <w:rPr>
          <w:rFonts w:ascii="Times New Roman" w:hAnsi="Times New Roman" w:cs="Times New Roman"/>
          <w:color w:val="000000"/>
          <w:sz w:val="24"/>
          <w:szCs w:val="24"/>
        </w:rPr>
        <w:t>(EC 2003, 2005, 2006</w:t>
      </w:r>
      <w:r w:rsidR="00257C63" w:rsidRPr="003A59C0">
        <w:rPr>
          <w:rFonts w:ascii="Times New Roman" w:hAnsi="Times New Roman" w:cs="Times New Roman"/>
          <w:color w:val="000000"/>
          <w:sz w:val="24"/>
          <w:szCs w:val="24"/>
        </w:rPr>
        <w:t>, 2008a, b</w:t>
      </w:r>
      <w:r w:rsidR="00A251D7" w:rsidRPr="003A59C0">
        <w:rPr>
          <w:rFonts w:ascii="Times New Roman" w:hAnsi="Times New Roman" w:cs="Times New Roman"/>
          <w:color w:val="000000"/>
          <w:sz w:val="24"/>
          <w:szCs w:val="24"/>
        </w:rPr>
        <w:t>)</w:t>
      </w:r>
      <w:r w:rsidRPr="003A59C0">
        <w:rPr>
          <w:rFonts w:ascii="Times New Roman" w:hAnsi="Times New Roman" w:cs="Times New Roman"/>
          <w:color w:val="000000"/>
          <w:sz w:val="24"/>
          <w:szCs w:val="24"/>
        </w:rPr>
        <w:t xml:space="preserve">. Both Bologna and </w:t>
      </w:r>
      <w:r w:rsidR="0059658F" w:rsidRPr="003A59C0">
        <w:rPr>
          <w:rFonts w:ascii="Times New Roman" w:hAnsi="Times New Roman" w:cs="Times New Roman"/>
          <w:color w:val="000000"/>
          <w:sz w:val="24"/>
          <w:szCs w:val="24"/>
        </w:rPr>
        <w:t>EU</w:t>
      </w:r>
      <w:r w:rsidRPr="003A59C0">
        <w:rPr>
          <w:rFonts w:ascii="Times New Roman" w:hAnsi="Times New Roman" w:cs="Times New Roman"/>
          <w:color w:val="000000"/>
          <w:sz w:val="24"/>
          <w:szCs w:val="24"/>
        </w:rPr>
        <w:t xml:space="preserve"> HE reform discourses became increasingly intertwined. Scholarly work suggests that the Bologna Process has been </w:t>
      </w:r>
      <w:r w:rsidR="001A2791" w:rsidRPr="003A59C0">
        <w:rPr>
          <w:rFonts w:ascii="Times New Roman" w:hAnsi="Times New Roman" w:cs="Times New Roman"/>
          <w:color w:val="000000"/>
          <w:sz w:val="24"/>
          <w:szCs w:val="24"/>
        </w:rPr>
        <w:t>absorbed into the more general “stream”</w:t>
      </w:r>
      <w:r w:rsidRPr="003A59C0">
        <w:rPr>
          <w:rFonts w:ascii="Times New Roman" w:hAnsi="Times New Roman" w:cs="Times New Roman"/>
          <w:color w:val="000000"/>
          <w:sz w:val="24"/>
          <w:szCs w:val="24"/>
        </w:rPr>
        <w:t xml:space="preserve"> of the Lisbon Agenda through a progressive convergence of documents (Capano an</w:t>
      </w:r>
      <w:r w:rsidR="00A251D7" w:rsidRPr="003A59C0">
        <w:rPr>
          <w:rFonts w:ascii="Times New Roman" w:hAnsi="Times New Roman" w:cs="Times New Roman"/>
          <w:color w:val="000000"/>
          <w:sz w:val="24"/>
          <w:szCs w:val="24"/>
        </w:rPr>
        <w:t>d Piattoni 2011, 586). Specifi</w:t>
      </w:r>
      <w:r w:rsidRPr="003A59C0">
        <w:rPr>
          <w:rFonts w:ascii="Times New Roman" w:hAnsi="Times New Roman" w:cs="Times New Roman"/>
          <w:color w:val="000000"/>
          <w:sz w:val="24"/>
          <w:szCs w:val="24"/>
        </w:rPr>
        <w:t>cally, the</w:t>
      </w:r>
      <w:r w:rsidR="00A251D7" w:rsidRPr="003A59C0">
        <w:rPr>
          <w:rFonts w:ascii="Times New Roman" w:hAnsi="Times New Roman" w:cs="Times New Roman"/>
          <w:color w:val="000000"/>
          <w:sz w:val="24"/>
          <w:szCs w:val="24"/>
        </w:rPr>
        <w:t xml:space="preserve"> </w:t>
      </w:r>
      <w:r w:rsidRPr="003A59C0">
        <w:rPr>
          <w:rFonts w:ascii="Times New Roman" w:hAnsi="Times New Roman" w:cs="Times New Roman"/>
          <w:color w:val="000000"/>
          <w:sz w:val="24"/>
          <w:szCs w:val="24"/>
        </w:rPr>
        <w:t>strategic role of HE in the promotion of competitiveness of European economy set</w:t>
      </w:r>
      <w:r w:rsidR="006E008A" w:rsidRPr="003A59C0">
        <w:rPr>
          <w:rFonts w:ascii="Times New Roman" w:hAnsi="Times New Roman" w:cs="Times New Roman"/>
          <w:color w:val="000000"/>
          <w:sz w:val="24"/>
          <w:szCs w:val="24"/>
        </w:rPr>
        <w:t xml:space="preserve"> </w:t>
      </w:r>
      <w:r w:rsidRPr="003A59C0">
        <w:rPr>
          <w:rFonts w:ascii="Times New Roman" w:hAnsi="Times New Roman" w:cs="Times New Roman"/>
          <w:color w:val="000000"/>
          <w:sz w:val="24"/>
          <w:szCs w:val="24"/>
        </w:rPr>
        <w:t>out in the Lisbon Agenda has had implications on certain emphasises within the</w:t>
      </w:r>
      <w:r w:rsidR="00A251D7" w:rsidRPr="003A59C0">
        <w:rPr>
          <w:rFonts w:ascii="Times New Roman" w:hAnsi="Times New Roman" w:cs="Times New Roman"/>
          <w:color w:val="000000"/>
          <w:sz w:val="24"/>
          <w:szCs w:val="24"/>
        </w:rPr>
        <w:t xml:space="preserve"> </w:t>
      </w:r>
      <w:r w:rsidRPr="003A59C0">
        <w:rPr>
          <w:rFonts w:ascii="Times New Roman" w:hAnsi="Times New Roman" w:cs="Times New Roman"/>
          <w:color w:val="000000"/>
          <w:sz w:val="24"/>
          <w:szCs w:val="24"/>
        </w:rPr>
        <w:t>Bologna documents, and, more</w:t>
      </w:r>
      <w:r w:rsidR="00A251D7" w:rsidRPr="003A59C0">
        <w:rPr>
          <w:rFonts w:ascii="Times New Roman" w:hAnsi="Times New Roman" w:cs="Times New Roman"/>
          <w:color w:val="000000"/>
          <w:sz w:val="24"/>
          <w:szCs w:val="24"/>
        </w:rPr>
        <w:t xml:space="preserve"> broadly, on the governance, </w:t>
      </w:r>
      <w:r w:rsidRPr="003A59C0">
        <w:rPr>
          <w:rFonts w:ascii="Times New Roman" w:hAnsi="Times New Roman" w:cs="Times New Roman"/>
          <w:color w:val="000000"/>
          <w:sz w:val="24"/>
          <w:szCs w:val="24"/>
        </w:rPr>
        <w:t>funding reforms</w:t>
      </w:r>
      <w:r w:rsidR="00A251D7" w:rsidRPr="003A59C0">
        <w:rPr>
          <w:rFonts w:ascii="Times New Roman" w:hAnsi="Times New Roman" w:cs="Times New Roman"/>
          <w:color w:val="000000"/>
          <w:sz w:val="24"/>
          <w:szCs w:val="24"/>
        </w:rPr>
        <w:t xml:space="preserve"> as well institutional diversity </w:t>
      </w:r>
      <w:r w:rsidRPr="003A59C0">
        <w:rPr>
          <w:rFonts w:ascii="Times New Roman" w:hAnsi="Times New Roman" w:cs="Times New Roman"/>
          <w:color w:val="000000"/>
          <w:sz w:val="24"/>
          <w:szCs w:val="24"/>
        </w:rPr>
        <w:t>within the EHEA.</w:t>
      </w:r>
    </w:p>
    <w:p w:rsidR="00C51CD7" w:rsidRPr="003A59C0" w:rsidRDefault="00C51CD7" w:rsidP="006E008A">
      <w:pPr>
        <w:autoSpaceDE w:val="0"/>
        <w:autoSpaceDN w:val="0"/>
        <w:adjustRightInd w:val="0"/>
        <w:spacing w:after="0"/>
        <w:jc w:val="both"/>
        <w:rPr>
          <w:rFonts w:ascii="Times New Roman" w:hAnsi="Times New Roman" w:cs="Times New Roman"/>
          <w:color w:val="000000"/>
          <w:sz w:val="24"/>
          <w:szCs w:val="24"/>
        </w:rPr>
      </w:pPr>
    </w:p>
    <w:p w:rsidR="0087047C" w:rsidRPr="003A59C0" w:rsidRDefault="00C74645" w:rsidP="006E008A">
      <w:pPr>
        <w:spacing w:after="0"/>
        <w:jc w:val="both"/>
        <w:rPr>
          <w:rFonts w:ascii="Times New Roman" w:eastAsia="Times New Roman" w:hAnsi="Times New Roman" w:cs="Times New Roman"/>
          <w:bCs/>
          <w:sz w:val="24"/>
          <w:szCs w:val="24"/>
        </w:rPr>
      </w:pPr>
      <w:r w:rsidRPr="003A59C0">
        <w:rPr>
          <w:rFonts w:ascii="Times New Roman" w:eastAsia="Times New Roman" w:hAnsi="Times New Roman" w:cs="Times New Roman"/>
          <w:kern w:val="32"/>
          <w:sz w:val="24"/>
          <w:szCs w:val="24"/>
          <w:lang w:eastAsia="en-GB"/>
        </w:rPr>
        <w:t xml:space="preserve">There are several notions of diversity featuring within this overarching Bologna policy context. At the core of the Bologna Process lies, of course, the structural convergence in </w:t>
      </w:r>
      <w:r w:rsidR="0059658F" w:rsidRPr="003A59C0">
        <w:rPr>
          <w:rFonts w:ascii="Times New Roman" w:eastAsia="Times New Roman" w:hAnsi="Times New Roman" w:cs="Times New Roman"/>
          <w:kern w:val="32"/>
          <w:sz w:val="24"/>
          <w:szCs w:val="24"/>
          <w:lang w:eastAsia="en-GB"/>
        </w:rPr>
        <w:t xml:space="preserve">terms of degree structures and </w:t>
      </w:r>
      <w:r w:rsidRPr="003A59C0">
        <w:rPr>
          <w:rFonts w:ascii="Times New Roman" w:eastAsia="Times New Roman" w:hAnsi="Times New Roman" w:cs="Times New Roman"/>
          <w:kern w:val="32"/>
          <w:sz w:val="24"/>
          <w:szCs w:val="24"/>
          <w:lang w:eastAsia="en-GB"/>
        </w:rPr>
        <w:t xml:space="preserve">mobility tools. </w:t>
      </w:r>
      <w:r w:rsidR="0087047C" w:rsidRPr="003A59C0">
        <w:rPr>
          <w:rFonts w:ascii="Times New Roman" w:eastAsia="Times New Roman" w:hAnsi="Times New Roman" w:cs="Times New Roman"/>
          <w:kern w:val="32"/>
          <w:sz w:val="24"/>
          <w:szCs w:val="24"/>
          <w:lang w:eastAsia="en-GB"/>
        </w:rPr>
        <w:t xml:space="preserve">With structural convergence increasing, other aspects of diversity in </w:t>
      </w:r>
      <w:r w:rsidR="00F92032" w:rsidRPr="003A59C0">
        <w:rPr>
          <w:rFonts w:ascii="Times New Roman" w:eastAsia="Times New Roman" w:hAnsi="Times New Roman" w:cs="Times New Roman"/>
          <w:kern w:val="32"/>
          <w:sz w:val="24"/>
          <w:szCs w:val="24"/>
          <w:lang w:eastAsia="en-GB"/>
        </w:rPr>
        <w:t>HE</w:t>
      </w:r>
      <w:r w:rsidR="0087047C" w:rsidRPr="003A59C0">
        <w:rPr>
          <w:rFonts w:ascii="Times New Roman" w:eastAsia="Times New Roman" w:hAnsi="Times New Roman" w:cs="Times New Roman"/>
          <w:kern w:val="32"/>
          <w:sz w:val="24"/>
          <w:szCs w:val="24"/>
          <w:lang w:eastAsia="en-GB"/>
        </w:rPr>
        <w:t xml:space="preserve"> systems become accentuated, in particular the diversity of </w:t>
      </w:r>
      <w:r w:rsidR="00F92032" w:rsidRPr="003A59C0">
        <w:rPr>
          <w:rFonts w:ascii="Times New Roman" w:eastAsia="Times New Roman" w:hAnsi="Times New Roman" w:cs="Times New Roman"/>
          <w:kern w:val="32"/>
          <w:sz w:val="24"/>
          <w:szCs w:val="24"/>
          <w:lang w:eastAsia="en-GB"/>
        </w:rPr>
        <w:t>HE</w:t>
      </w:r>
      <w:r w:rsidR="0087047C" w:rsidRPr="003A59C0">
        <w:rPr>
          <w:rFonts w:ascii="Times New Roman" w:eastAsia="Times New Roman" w:hAnsi="Times New Roman" w:cs="Times New Roman"/>
          <w:kern w:val="32"/>
          <w:sz w:val="24"/>
          <w:szCs w:val="24"/>
          <w:lang w:eastAsia="en-GB"/>
        </w:rPr>
        <w:t xml:space="preserve"> institutions </w:t>
      </w:r>
      <w:r w:rsidRPr="003A59C0">
        <w:rPr>
          <w:rFonts w:ascii="Times New Roman" w:eastAsia="Times New Roman" w:hAnsi="Times New Roman" w:cs="Times New Roman"/>
          <w:kern w:val="32"/>
          <w:sz w:val="24"/>
          <w:szCs w:val="24"/>
          <w:lang w:eastAsia="en-GB"/>
        </w:rPr>
        <w:t>(Guri-Rosenblit et al</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2007</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380). The </w:t>
      </w:r>
      <w:r w:rsidR="0087047C" w:rsidRPr="003A59C0">
        <w:rPr>
          <w:rFonts w:ascii="Times New Roman" w:eastAsia="Times New Roman" w:hAnsi="Times New Roman" w:cs="Times New Roman"/>
          <w:kern w:val="32"/>
          <w:sz w:val="24"/>
          <w:szCs w:val="24"/>
          <w:lang w:eastAsia="en-GB"/>
        </w:rPr>
        <w:t xml:space="preserve">message from the Bologna </w:t>
      </w:r>
      <w:r w:rsidRPr="003A59C0">
        <w:rPr>
          <w:rFonts w:ascii="Times New Roman" w:eastAsia="Times New Roman" w:hAnsi="Times New Roman" w:cs="Times New Roman"/>
          <w:kern w:val="32"/>
          <w:sz w:val="24"/>
          <w:szCs w:val="24"/>
          <w:lang w:eastAsia="en-GB"/>
        </w:rPr>
        <w:t>Ministerial communiqués</w:t>
      </w:r>
      <w:r w:rsidR="0087047C" w:rsidRPr="003A59C0">
        <w:rPr>
          <w:rFonts w:ascii="Times New Roman" w:eastAsia="Times New Roman" w:hAnsi="Times New Roman" w:cs="Times New Roman"/>
          <w:kern w:val="32"/>
          <w:sz w:val="24"/>
          <w:szCs w:val="24"/>
          <w:lang w:eastAsia="en-GB"/>
        </w:rPr>
        <w:t xml:space="preserve"> highlights that</w:t>
      </w:r>
      <w:r w:rsidRPr="003A59C0">
        <w:rPr>
          <w:rFonts w:ascii="Times New Roman" w:eastAsia="Times New Roman" w:hAnsi="Times New Roman" w:cs="Times New Roman"/>
          <w:kern w:val="32"/>
          <w:sz w:val="24"/>
          <w:szCs w:val="24"/>
          <w:lang w:eastAsia="en-GB"/>
        </w:rPr>
        <w:t xml:space="preserve"> structural convergence should not diminish the inherent diversity of </w:t>
      </w:r>
      <w:r w:rsidR="00F92032" w:rsidRPr="003A59C0">
        <w:rPr>
          <w:rFonts w:ascii="Times New Roman" w:eastAsia="Times New Roman" w:hAnsi="Times New Roman" w:cs="Times New Roman"/>
          <w:kern w:val="32"/>
          <w:sz w:val="24"/>
          <w:szCs w:val="24"/>
          <w:lang w:eastAsia="en-GB"/>
        </w:rPr>
        <w:t>HE</w:t>
      </w:r>
      <w:r w:rsidRPr="003A59C0">
        <w:rPr>
          <w:rFonts w:ascii="Times New Roman" w:eastAsia="Times New Roman" w:hAnsi="Times New Roman" w:cs="Times New Roman"/>
          <w:kern w:val="32"/>
          <w:sz w:val="24"/>
          <w:szCs w:val="24"/>
          <w:lang w:eastAsia="en-GB"/>
        </w:rPr>
        <w:t xml:space="preserve"> institutions</w:t>
      </w:r>
      <w:r w:rsidR="0087047C" w:rsidRPr="003A59C0">
        <w:rPr>
          <w:rFonts w:ascii="Times New Roman" w:eastAsia="Times New Roman" w:hAnsi="Times New Roman" w:cs="Times New Roman"/>
          <w:kern w:val="32"/>
          <w:sz w:val="24"/>
          <w:szCs w:val="24"/>
          <w:lang w:eastAsia="en-GB"/>
        </w:rPr>
        <w:t>; but does not go beyond this declarative statement</w:t>
      </w:r>
      <w:r w:rsidRPr="003A59C0">
        <w:rPr>
          <w:rFonts w:ascii="Times New Roman" w:eastAsia="Times New Roman" w:hAnsi="Times New Roman" w:cs="Times New Roman"/>
          <w:kern w:val="32"/>
          <w:sz w:val="24"/>
          <w:szCs w:val="24"/>
          <w:lang w:eastAsia="en-GB"/>
        </w:rPr>
        <w:t>. As Huisman and van Vught (2009</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22) observe, the </w:t>
      </w:r>
      <w:r w:rsidRPr="003A59C0">
        <w:rPr>
          <w:rFonts w:ascii="Times New Roman" w:eastAsia="Times New Roman" w:hAnsi="Times New Roman" w:cs="Times New Roman"/>
          <w:bCs/>
          <w:sz w:val="24"/>
          <w:szCs w:val="24"/>
        </w:rPr>
        <w:t>Bologna Declaration</w:t>
      </w:r>
      <w:r w:rsidR="0059658F" w:rsidRPr="003A59C0">
        <w:rPr>
          <w:rFonts w:ascii="Times New Roman" w:eastAsia="Times New Roman" w:hAnsi="Times New Roman" w:cs="Times New Roman"/>
          <w:bCs/>
          <w:sz w:val="24"/>
          <w:szCs w:val="24"/>
        </w:rPr>
        <w:t xml:space="preserve"> and the following communiqués ‘</w:t>
      </w:r>
      <w:r w:rsidRPr="003A59C0">
        <w:rPr>
          <w:rFonts w:ascii="Times New Roman" w:eastAsia="Times New Roman" w:hAnsi="Times New Roman" w:cs="Times New Roman"/>
          <w:bCs/>
          <w:sz w:val="24"/>
          <w:szCs w:val="24"/>
        </w:rPr>
        <w:t xml:space="preserve">highlight the importance of diversity of </w:t>
      </w:r>
      <w:r w:rsidR="00F92032" w:rsidRPr="003A59C0">
        <w:rPr>
          <w:rFonts w:ascii="Times New Roman" w:eastAsia="Times New Roman" w:hAnsi="Times New Roman" w:cs="Times New Roman"/>
          <w:bCs/>
          <w:sz w:val="24"/>
          <w:szCs w:val="24"/>
        </w:rPr>
        <w:t>HE</w:t>
      </w:r>
      <w:r w:rsidRPr="003A59C0">
        <w:rPr>
          <w:rFonts w:ascii="Times New Roman" w:eastAsia="Times New Roman" w:hAnsi="Times New Roman" w:cs="Times New Roman"/>
          <w:bCs/>
          <w:sz w:val="24"/>
          <w:szCs w:val="24"/>
        </w:rPr>
        <w:t xml:space="preserve"> </w:t>
      </w:r>
      <w:r w:rsidR="0059658F" w:rsidRPr="003A59C0">
        <w:rPr>
          <w:rFonts w:ascii="Times New Roman" w:eastAsia="Times New Roman" w:hAnsi="Times New Roman" w:cs="Times New Roman"/>
          <w:bCs/>
          <w:sz w:val="24"/>
          <w:szCs w:val="24"/>
        </w:rPr>
        <w:t>systems, but in ambiguous terms’</w:t>
      </w:r>
      <w:r w:rsidR="0087047C" w:rsidRPr="003A59C0">
        <w:rPr>
          <w:rFonts w:ascii="Times New Roman" w:eastAsia="Times New Roman" w:hAnsi="Times New Roman" w:cs="Times New Roman"/>
          <w:bCs/>
          <w:sz w:val="24"/>
          <w:szCs w:val="24"/>
        </w:rPr>
        <w:t>,</w:t>
      </w:r>
      <w:r w:rsidRPr="003A59C0">
        <w:rPr>
          <w:rFonts w:ascii="Times New Roman" w:eastAsia="Times New Roman" w:hAnsi="Times New Roman" w:cs="Times New Roman"/>
          <w:bCs/>
          <w:sz w:val="24"/>
          <w:szCs w:val="24"/>
        </w:rPr>
        <w:t xml:space="preserve"> and with no clear indication of what aspect of diversity is worth pursuing beyond the general notions of linguistic and cultural diversity. It is only if we take a closer look at the </w:t>
      </w:r>
      <w:r w:rsidR="0087047C" w:rsidRPr="003A59C0">
        <w:rPr>
          <w:rFonts w:ascii="Times New Roman" w:eastAsia="Times New Roman" w:hAnsi="Times New Roman" w:cs="Times New Roman"/>
          <w:bCs/>
          <w:sz w:val="24"/>
          <w:szCs w:val="24"/>
        </w:rPr>
        <w:t>policy</w:t>
      </w:r>
      <w:r w:rsidRPr="003A59C0">
        <w:rPr>
          <w:rFonts w:ascii="Times New Roman" w:eastAsia="Times New Roman" w:hAnsi="Times New Roman" w:cs="Times New Roman"/>
          <w:bCs/>
          <w:sz w:val="24"/>
          <w:szCs w:val="24"/>
        </w:rPr>
        <w:t xml:space="preserve"> documents </w:t>
      </w:r>
      <w:r w:rsidR="0087047C" w:rsidRPr="003A59C0">
        <w:rPr>
          <w:rFonts w:ascii="Times New Roman" w:eastAsia="Times New Roman" w:hAnsi="Times New Roman" w:cs="Times New Roman"/>
          <w:bCs/>
          <w:sz w:val="24"/>
          <w:szCs w:val="24"/>
        </w:rPr>
        <w:t xml:space="preserve">issued by especially the </w:t>
      </w:r>
      <w:r w:rsidR="00A51477" w:rsidRPr="003A59C0">
        <w:rPr>
          <w:rFonts w:ascii="Times New Roman" w:eastAsia="Times New Roman" w:hAnsi="Times New Roman" w:cs="Times New Roman"/>
          <w:bCs/>
          <w:sz w:val="24"/>
          <w:szCs w:val="24"/>
        </w:rPr>
        <w:t>EC</w:t>
      </w:r>
      <w:r w:rsidR="0087047C" w:rsidRPr="003A59C0">
        <w:rPr>
          <w:rFonts w:ascii="Times New Roman" w:eastAsia="Times New Roman" w:hAnsi="Times New Roman" w:cs="Times New Roman"/>
          <w:bCs/>
          <w:sz w:val="24"/>
          <w:szCs w:val="24"/>
        </w:rPr>
        <w:t xml:space="preserve"> in the framework of the “Modernis</w:t>
      </w:r>
      <w:r w:rsidR="001D44C3" w:rsidRPr="003A59C0">
        <w:rPr>
          <w:rFonts w:ascii="Times New Roman" w:eastAsia="Times New Roman" w:hAnsi="Times New Roman" w:cs="Times New Roman"/>
          <w:bCs/>
          <w:sz w:val="24"/>
          <w:szCs w:val="24"/>
        </w:rPr>
        <w:t xml:space="preserve">ation Agenda for Universities” </w:t>
      </w:r>
      <w:r w:rsidRPr="003A59C0">
        <w:rPr>
          <w:rFonts w:ascii="Times New Roman" w:eastAsia="Times New Roman" w:hAnsi="Times New Roman" w:cs="Times New Roman"/>
          <w:bCs/>
          <w:sz w:val="24"/>
          <w:szCs w:val="24"/>
        </w:rPr>
        <w:t xml:space="preserve">that we find institutional diversity </w:t>
      </w:r>
      <w:r w:rsidR="00A442A4" w:rsidRPr="003A59C0">
        <w:rPr>
          <w:rFonts w:ascii="Times New Roman" w:eastAsia="Times New Roman" w:hAnsi="Times New Roman" w:cs="Times New Roman"/>
          <w:bCs/>
          <w:sz w:val="24"/>
          <w:szCs w:val="24"/>
        </w:rPr>
        <w:t>vocally promulgated as</w:t>
      </w:r>
      <w:r w:rsidR="0087047C" w:rsidRPr="003A59C0">
        <w:rPr>
          <w:rFonts w:ascii="Times New Roman" w:eastAsia="Times New Roman" w:hAnsi="Times New Roman" w:cs="Times New Roman"/>
          <w:bCs/>
          <w:sz w:val="24"/>
          <w:szCs w:val="24"/>
        </w:rPr>
        <w:t xml:space="preserve"> a policy goal</w:t>
      </w:r>
      <w:r w:rsidRPr="003A59C0">
        <w:rPr>
          <w:rFonts w:ascii="Times New Roman" w:eastAsia="Times New Roman" w:hAnsi="Times New Roman" w:cs="Times New Roman"/>
          <w:bCs/>
          <w:sz w:val="24"/>
          <w:szCs w:val="24"/>
        </w:rPr>
        <w:t xml:space="preserve">. </w:t>
      </w:r>
    </w:p>
    <w:p w:rsidR="00A442A4" w:rsidRPr="003A59C0" w:rsidRDefault="00A442A4" w:rsidP="006E008A">
      <w:pPr>
        <w:spacing w:after="0"/>
        <w:jc w:val="both"/>
        <w:rPr>
          <w:rFonts w:ascii="Times New Roman" w:eastAsia="Times New Roman" w:hAnsi="Times New Roman" w:cs="Times New Roman"/>
          <w:kern w:val="32"/>
          <w:sz w:val="24"/>
          <w:szCs w:val="24"/>
          <w:lang w:eastAsia="en-GB"/>
        </w:rPr>
      </w:pPr>
    </w:p>
    <w:p w:rsidR="00C74645" w:rsidRPr="003A59C0" w:rsidRDefault="00C74645" w:rsidP="006E008A">
      <w:pPr>
        <w:autoSpaceDE w:val="0"/>
        <w:autoSpaceDN w:val="0"/>
        <w:adjustRightInd w:val="0"/>
        <w:spacing w:after="0"/>
        <w:jc w:val="both"/>
        <w:rPr>
          <w:rFonts w:ascii="Times New Roman" w:eastAsia="Times New Roman" w:hAnsi="Times New Roman" w:cs="Times New Roman"/>
          <w:sz w:val="24"/>
          <w:szCs w:val="24"/>
          <w:lang w:val="en-US"/>
        </w:rPr>
      </w:pPr>
      <w:r w:rsidRPr="003A59C0">
        <w:rPr>
          <w:rFonts w:ascii="Times New Roman" w:eastAsia="Times New Roman" w:hAnsi="Times New Roman" w:cs="Times New Roman"/>
          <w:kern w:val="32"/>
          <w:sz w:val="24"/>
          <w:szCs w:val="24"/>
          <w:lang w:eastAsia="en-GB"/>
        </w:rPr>
        <w:t>In the sequence of the Commission’s communications we witness ever stronger and more precise statements in favour of institutional diversification accompanied with concrete policy recommendations. The initial Commission’s promulgation of institutional diversity lies within a</w:t>
      </w:r>
      <w:r w:rsidR="001A2791" w:rsidRPr="003A59C0">
        <w:rPr>
          <w:rFonts w:ascii="Times New Roman" w:eastAsia="Times New Roman" w:hAnsi="Times New Roman" w:cs="Times New Roman"/>
          <w:kern w:val="32"/>
          <w:sz w:val="24"/>
          <w:szCs w:val="24"/>
          <w:lang w:eastAsia="en-GB"/>
        </w:rPr>
        <w:t xml:space="preserve"> genuine concern regarding ‘</w:t>
      </w:r>
      <w:r w:rsidRPr="003A59C0">
        <w:rPr>
          <w:rFonts w:ascii="Times New Roman" w:eastAsia="Times New Roman" w:hAnsi="Times New Roman" w:cs="Times New Roman"/>
          <w:i/>
          <w:sz w:val="24"/>
          <w:szCs w:val="24"/>
          <w:lang w:val="en-US"/>
        </w:rPr>
        <w:t>how to concentrate enough resources on excellence, and create the conditions within which universities can attain and develop excellence</w:t>
      </w:r>
      <w:r w:rsidR="001A2791"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sz w:val="24"/>
          <w:szCs w:val="24"/>
          <w:lang w:val="en-US"/>
        </w:rPr>
        <w:t xml:space="preserve"> (</w:t>
      </w:r>
      <w:r w:rsidR="00A51477" w:rsidRPr="003A59C0">
        <w:rPr>
          <w:rFonts w:ascii="Times New Roman" w:eastAsia="Times New Roman" w:hAnsi="Times New Roman" w:cs="Times New Roman"/>
          <w:sz w:val="24"/>
          <w:szCs w:val="24"/>
          <w:lang w:val="en-US"/>
        </w:rPr>
        <w:t>EC</w:t>
      </w:r>
      <w:r w:rsidRPr="003A59C0">
        <w:rPr>
          <w:rFonts w:ascii="Times New Roman" w:eastAsia="Times New Roman" w:hAnsi="Times New Roman" w:cs="Times New Roman"/>
          <w:sz w:val="24"/>
          <w:szCs w:val="24"/>
          <w:lang w:val="en-US"/>
        </w:rPr>
        <w:t xml:space="preserve"> 2003</w:t>
      </w:r>
      <w:r w:rsidR="0098665E"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sz w:val="24"/>
          <w:szCs w:val="24"/>
          <w:lang w:val="en-US"/>
        </w:rPr>
        <w:t xml:space="preserve"> 2). It notes </w:t>
      </w:r>
      <w:r w:rsidR="0098665E" w:rsidRPr="003A59C0">
        <w:rPr>
          <w:rFonts w:ascii="Times New Roman" w:eastAsia="Times New Roman" w:hAnsi="Times New Roman" w:cs="Times New Roman"/>
          <w:sz w:val="24"/>
          <w:szCs w:val="24"/>
          <w:lang w:val="en-US"/>
        </w:rPr>
        <w:t>t</w:t>
      </w:r>
      <w:r w:rsidR="001A2791" w:rsidRPr="003A59C0">
        <w:rPr>
          <w:rFonts w:ascii="Times New Roman" w:eastAsia="Times New Roman" w:hAnsi="Times New Roman" w:cs="Times New Roman"/>
          <w:sz w:val="24"/>
          <w:szCs w:val="24"/>
          <w:lang w:val="en-US"/>
        </w:rPr>
        <w:t>he importance of the emergence ‘</w:t>
      </w:r>
      <w:r w:rsidRPr="003A59C0">
        <w:rPr>
          <w:rFonts w:ascii="Times New Roman" w:eastAsia="Times New Roman" w:hAnsi="Times New Roman" w:cs="Times New Roman"/>
          <w:i/>
          <w:sz w:val="24"/>
          <w:szCs w:val="24"/>
          <w:lang w:val="en-US"/>
        </w:rPr>
        <w:t>of more specialised institutions concentrating on a core of specific competences when it comes to research and teaching and/or on certain dimensions of their activities, e.g. their integration within a strategy of regional development through adult education/training</w:t>
      </w:r>
      <w:r w:rsidR="001A2791" w:rsidRPr="003A59C0">
        <w:rPr>
          <w:rFonts w:ascii="Times New Roman" w:eastAsia="Times New Roman" w:hAnsi="Times New Roman" w:cs="Times New Roman"/>
          <w:i/>
          <w:sz w:val="24"/>
          <w:szCs w:val="24"/>
          <w:lang w:val="en-US"/>
        </w:rPr>
        <w:t>’</w:t>
      </w:r>
      <w:r w:rsidRPr="003A59C0">
        <w:rPr>
          <w:rFonts w:ascii="Times New Roman" w:eastAsia="Times New Roman" w:hAnsi="Times New Roman" w:cs="Times New Roman"/>
          <w:sz w:val="24"/>
          <w:szCs w:val="24"/>
          <w:lang w:val="en-US"/>
        </w:rPr>
        <w:t xml:space="preserve"> (</w:t>
      </w:r>
      <w:r w:rsidR="00A51477" w:rsidRPr="003A59C0">
        <w:rPr>
          <w:rFonts w:ascii="Times New Roman" w:eastAsia="Times New Roman" w:hAnsi="Times New Roman" w:cs="Times New Roman"/>
          <w:sz w:val="24"/>
          <w:szCs w:val="24"/>
          <w:lang w:val="en-US"/>
        </w:rPr>
        <w:t>EC</w:t>
      </w:r>
      <w:r w:rsidRPr="003A59C0">
        <w:rPr>
          <w:rFonts w:ascii="Times New Roman" w:eastAsia="Times New Roman" w:hAnsi="Times New Roman" w:cs="Times New Roman"/>
          <w:sz w:val="24"/>
          <w:szCs w:val="24"/>
          <w:lang w:val="en-US"/>
        </w:rPr>
        <w:t xml:space="preserve"> 2003</w:t>
      </w:r>
      <w:r w:rsidR="0098665E"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sz w:val="24"/>
          <w:szCs w:val="24"/>
          <w:lang w:val="en-US"/>
        </w:rPr>
        <w:t xml:space="preserve"> 6). In line with this note, the Commission adopts a straightforward language regarding the desirability of institutional diversification (</w:t>
      </w:r>
      <w:r w:rsidR="00A51477" w:rsidRPr="003A59C0">
        <w:rPr>
          <w:rFonts w:ascii="Times New Roman" w:eastAsia="Times New Roman" w:hAnsi="Times New Roman" w:cs="Times New Roman"/>
          <w:sz w:val="24"/>
          <w:szCs w:val="24"/>
          <w:lang w:val="en-US"/>
        </w:rPr>
        <w:t>EC</w:t>
      </w:r>
      <w:r w:rsidRPr="003A59C0">
        <w:rPr>
          <w:rFonts w:ascii="Times New Roman" w:eastAsia="Times New Roman" w:hAnsi="Times New Roman" w:cs="Times New Roman"/>
          <w:sz w:val="24"/>
          <w:szCs w:val="24"/>
          <w:lang w:val="en-US"/>
        </w:rPr>
        <w:t xml:space="preserve"> 2003</w:t>
      </w:r>
      <w:r w:rsidR="0098665E"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sz w:val="24"/>
          <w:szCs w:val="24"/>
          <w:lang w:val="en-US"/>
        </w:rPr>
        <w:t xml:space="preserve"> 18): </w:t>
      </w:r>
      <w:r w:rsidR="001A2791" w:rsidRPr="003A59C0">
        <w:rPr>
          <w:rFonts w:ascii="Times New Roman" w:eastAsia="Times New Roman" w:hAnsi="Times New Roman" w:cs="Times New Roman"/>
          <w:i/>
          <w:sz w:val="24"/>
          <w:szCs w:val="24"/>
          <w:lang w:val="en-US"/>
        </w:rPr>
        <w:t>‘</w:t>
      </w:r>
      <w:r w:rsidRPr="003A59C0">
        <w:rPr>
          <w:rFonts w:ascii="Times New Roman" w:eastAsia="Times New Roman" w:hAnsi="Times New Roman" w:cs="Times New Roman"/>
          <w:i/>
          <w:sz w:val="24"/>
          <w:szCs w:val="24"/>
          <w:lang w:val="en-US"/>
        </w:rPr>
        <w:t>A combination of the absolute need for excellence, the effects of the precariousness of resources and the pressure of competition, forces universities and Member States to make choices. They need to identify the areas in which different universities have attained, or can reasonably be expected to attain, the excellence […] and to focus on them funds to support academic research […], as no Member State is capable of ac</w:t>
      </w:r>
      <w:r w:rsidR="001A2791" w:rsidRPr="003A59C0">
        <w:rPr>
          <w:rFonts w:ascii="Times New Roman" w:eastAsia="Times New Roman" w:hAnsi="Times New Roman" w:cs="Times New Roman"/>
          <w:i/>
          <w:sz w:val="24"/>
          <w:szCs w:val="24"/>
          <w:lang w:val="en-US"/>
        </w:rPr>
        <w:t>hieving excellence in all areas’</w:t>
      </w:r>
      <w:r w:rsidRPr="003A59C0">
        <w:rPr>
          <w:rFonts w:ascii="Times New Roman" w:eastAsia="Times New Roman" w:hAnsi="Times New Roman" w:cs="Times New Roman"/>
          <w:i/>
          <w:sz w:val="24"/>
          <w:szCs w:val="24"/>
          <w:lang w:val="en-US"/>
        </w:rPr>
        <w:t>.</w:t>
      </w:r>
      <w:r w:rsidRPr="003A59C0">
        <w:rPr>
          <w:rFonts w:ascii="Times New Roman" w:eastAsia="Times New Roman" w:hAnsi="Times New Roman" w:cs="Times New Roman"/>
          <w:sz w:val="24"/>
          <w:szCs w:val="24"/>
          <w:lang w:val="en-US"/>
        </w:rPr>
        <w:t xml:space="preserve"> Such “increased specialization” of the universities, according to the Commission, does not preclude the natural link between research and teaching, but it is nevertheless </w:t>
      </w:r>
      <w:r w:rsidR="001A2791"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i/>
          <w:sz w:val="24"/>
          <w:szCs w:val="24"/>
          <w:lang w:val="en-US"/>
        </w:rPr>
        <w:t>not the same in all institutions, for all programmes or for all levels</w:t>
      </w:r>
      <w:r w:rsidR="001A2791" w:rsidRPr="003A59C0">
        <w:rPr>
          <w:rFonts w:ascii="Times New Roman" w:eastAsia="Times New Roman" w:hAnsi="Times New Roman" w:cs="Times New Roman"/>
          <w:sz w:val="24"/>
          <w:szCs w:val="24"/>
          <w:lang w:val="en-US"/>
        </w:rPr>
        <w:t>’</w:t>
      </w:r>
      <w:r w:rsidRPr="003A59C0">
        <w:rPr>
          <w:rFonts w:ascii="Times New Roman" w:eastAsia="Times New Roman" w:hAnsi="Times New Roman" w:cs="Times New Roman"/>
          <w:sz w:val="24"/>
          <w:szCs w:val="24"/>
          <w:lang w:val="en-US"/>
        </w:rPr>
        <w:t xml:space="preserve"> (ibid.). The stress in this initial communication is clearly on achieving excellence and institutional diversification as a means to achieve it.</w:t>
      </w:r>
    </w:p>
    <w:p w:rsidR="00C74645" w:rsidRPr="003A59C0" w:rsidRDefault="00C74645" w:rsidP="006E008A">
      <w:pPr>
        <w:autoSpaceDE w:val="0"/>
        <w:autoSpaceDN w:val="0"/>
        <w:adjustRightInd w:val="0"/>
        <w:spacing w:after="0"/>
        <w:jc w:val="both"/>
        <w:rPr>
          <w:rFonts w:ascii="Times New Roman" w:eastAsia="Times New Roman" w:hAnsi="Times New Roman" w:cs="Times New Roman"/>
          <w:sz w:val="24"/>
          <w:szCs w:val="24"/>
          <w:lang w:val="en-US"/>
        </w:rPr>
      </w:pPr>
    </w:p>
    <w:p w:rsidR="00C74645" w:rsidRPr="003A59C0" w:rsidRDefault="00C74645" w:rsidP="006E008A">
      <w:pPr>
        <w:autoSpaceDE w:val="0"/>
        <w:autoSpaceDN w:val="0"/>
        <w:adjustRightInd w:val="0"/>
        <w:spacing w:after="0"/>
        <w:jc w:val="both"/>
        <w:rPr>
          <w:rFonts w:ascii="Times New Roman" w:eastAsia="Times New Roman" w:hAnsi="Times New Roman" w:cs="Times New Roman"/>
          <w:kern w:val="32"/>
          <w:sz w:val="24"/>
          <w:szCs w:val="24"/>
          <w:lang w:eastAsia="en-GB"/>
        </w:rPr>
      </w:pPr>
      <w:r w:rsidRPr="003A59C0">
        <w:rPr>
          <w:rFonts w:ascii="Times New Roman" w:eastAsia="Times New Roman" w:hAnsi="Times New Roman" w:cs="Times New Roman"/>
          <w:sz w:val="24"/>
          <w:szCs w:val="24"/>
          <w:lang w:val="en-US"/>
        </w:rPr>
        <w:t>The following Commission’s communication (</w:t>
      </w:r>
      <w:r w:rsidR="006E008A" w:rsidRPr="003A59C0">
        <w:rPr>
          <w:rFonts w:ascii="Times New Roman" w:eastAsia="Times New Roman" w:hAnsi="Times New Roman" w:cs="Times New Roman"/>
          <w:sz w:val="24"/>
          <w:szCs w:val="24"/>
          <w:lang w:val="en-US"/>
        </w:rPr>
        <w:t xml:space="preserve">EC </w:t>
      </w:r>
      <w:r w:rsidRPr="003A59C0">
        <w:rPr>
          <w:rFonts w:ascii="Times New Roman" w:eastAsia="Times New Roman" w:hAnsi="Times New Roman" w:cs="Times New Roman"/>
          <w:sz w:val="24"/>
          <w:szCs w:val="24"/>
          <w:lang w:val="en-US"/>
        </w:rPr>
        <w:t>2005</w:t>
      </w:r>
      <w:r w:rsidR="0098665E" w:rsidRPr="003A59C0">
        <w:rPr>
          <w:rFonts w:ascii="Times New Roman" w:eastAsia="Times New Roman" w:hAnsi="Times New Roman" w:cs="Times New Roman"/>
          <w:sz w:val="24"/>
          <w:szCs w:val="24"/>
          <w:lang w:val="en-US"/>
        </w:rPr>
        <w:t>,</w:t>
      </w:r>
      <w:r w:rsidR="000D10F4" w:rsidRPr="003A59C0">
        <w:rPr>
          <w:rFonts w:ascii="Times New Roman" w:eastAsia="Times New Roman" w:hAnsi="Times New Roman" w:cs="Times New Roman"/>
          <w:sz w:val="24"/>
          <w:szCs w:val="24"/>
          <w:lang w:val="en-US"/>
        </w:rPr>
        <w:t xml:space="preserve"> </w:t>
      </w:r>
      <w:r w:rsidRPr="003A59C0">
        <w:rPr>
          <w:rFonts w:ascii="Times New Roman" w:eastAsia="Times New Roman" w:hAnsi="Times New Roman" w:cs="Times New Roman"/>
          <w:sz w:val="24"/>
          <w:szCs w:val="24"/>
          <w:lang w:val="en-US"/>
        </w:rPr>
        <w:t xml:space="preserve">3-4) strengthens the language of the desirability of institutional diversity even further. Importantly, it also accentuates the argument of improved access besides achieving excellence. The basic proposition is that a low degree of diversification - </w:t>
      </w:r>
      <w:r w:rsidRPr="003A59C0">
        <w:rPr>
          <w:rFonts w:ascii="Times New Roman" w:eastAsia="Times New Roman" w:hAnsi="Times New Roman" w:cs="Times New Roman"/>
          <w:kern w:val="32"/>
          <w:sz w:val="24"/>
          <w:szCs w:val="24"/>
          <w:lang w:eastAsia="en-GB"/>
        </w:rPr>
        <w:t xml:space="preserve">implying uniformity and egalitarianism among </w:t>
      </w:r>
      <w:r w:rsidR="00F92032" w:rsidRPr="003A59C0">
        <w:rPr>
          <w:rFonts w:ascii="Times New Roman" w:eastAsia="Times New Roman" w:hAnsi="Times New Roman" w:cs="Times New Roman"/>
          <w:kern w:val="32"/>
          <w:sz w:val="24"/>
          <w:szCs w:val="24"/>
          <w:lang w:eastAsia="en-GB"/>
        </w:rPr>
        <w:t>HE</w:t>
      </w:r>
      <w:r w:rsidRPr="003A59C0">
        <w:rPr>
          <w:rFonts w:ascii="Times New Roman" w:eastAsia="Times New Roman" w:hAnsi="Times New Roman" w:cs="Times New Roman"/>
          <w:kern w:val="32"/>
          <w:sz w:val="24"/>
          <w:szCs w:val="24"/>
          <w:lang w:eastAsia="en-GB"/>
        </w:rPr>
        <w:t xml:space="preserve"> institutions - is an obstacle (“a bottleneck”) to achieving excellence and efficiency</w:t>
      </w:r>
      <w:r w:rsidR="0098665E" w:rsidRPr="003A59C0">
        <w:rPr>
          <w:rFonts w:ascii="Times New Roman" w:eastAsia="Times New Roman" w:hAnsi="Times New Roman" w:cs="Times New Roman"/>
          <w:kern w:val="32"/>
          <w:sz w:val="24"/>
          <w:szCs w:val="24"/>
          <w:lang w:eastAsia="en-GB"/>
        </w:rPr>
        <w:t xml:space="preserve"> at the system level</w:t>
      </w:r>
      <w:r w:rsidRPr="003A59C0">
        <w:rPr>
          <w:rFonts w:ascii="Times New Roman" w:eastAsia="Times New Roman" w:hAnsi="Times New Roman" w:cs="Times New Roman"/>
          <w:kern w:val="32"/>
          <w:sz w:val="24"/>
          <w:szCs w:val="24"/>
          <w:lang w:eastAsia="en-GB"/>
        </w:rPr>
        <w:t xml:space="preserve"> (</w:t>
      </w:r>
      <w:r w:rsidR="00A51477" w:rsidRPr="003A59C0">
        <w:rPr>
          <w:rFonts w:ascii="Times New Roman" w:eastAsia="Times New Roman" w:hAnsi="Times New Roman" w:cs="Times New Roman"/>
          <w:kern w:val="32"/>
          <w:sz w:val="24"/>
          <w:szCs w:val="24"/>
          <w:lang w:eastAsia="en-GB"/>
        </w:rPr>
        <w:t>EC</w:t>
      </w:r>
      <w:r w:rsidRPr="003A59C0">
        <w:rPr>
          <w:rFonts w:ascii="Times New Roman" w:eastAsia="Times New Roman" w:hAnsi="Times New Roman" w:cs="Times New Roman"/>
          <w:kern w:val="32"/>
          <w:sz w:val="24"/>
          <w:szCs w:val="24"/>
          <w:lang w:eastAsia="en-GB"/>
        </w:rPr>
        <w:t xml:space="preserve"> 2005</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3-4)</w:t>
      </w:r>
      <w:r w:rsidRPr="003A59C0">
        <w:rPr>
          <w:rFonts w:ascii="Times New Roman" w:eastAsia="Times New Roman" w:hAnsi="Times New Roman" w:cs="Times New Roman"/>
          <w:sz w:val="24"/>
          <w:szCs w:val="24"/>
          <w:lang w:val="en-US"/>
        </w:rPr>
        <w:t xml:space="preserve">: </w:t>
      </w:r>
      <w:r w:rsidR="0059658F" w:rsidRPr="003A59C0">
        <w:rPr>
          <w:rFonts w:ascii="Times New Roman" w:eastAsia="Times New Roman" w:hAnsi="Times New Roman" w:cs="Times New Roman"/>
          <w:i/>
          <w:sz w:val="24"/>
          <w:szCs w:val="24"/>
          <w:lang w:val="en-US"/>
        </w:rPr>
        <w:t>‘</w:t>
      </w:r>
      <w:r w:rsidRPr="003A59C0">
        <w:rPr>
          <w:rFonts w:ascii="Times New Roman" w:eastAsia="Times New Roman" w:hAnsi="Times New Roman" w:cs="Times New Roman"/>
          <w:i/>
          <w:sz w:val="24"/>
          <w:szCs w:val="24"/>
          <w:lang w:val="en-US"/>
        </w:rPr>
        <w:t>Most universities tend to offer the same monodisciplinary programmes and traditional methods geared towards the same group of academically best-qualified learners – which leads to the exclusion of those who do not conform to the standard model. Other consequences are that Europe has too few cen</w:t>
      </w:r>
      <w:r w:rsidR="0059658F" w:rsidRPr="003A59C0">
        <w:rPr>
          <w:rFonts w:ascii="Times New Roman" w:eastAsia="Times New Roman" w:hAnsi="Times New Roman" w:cs="Times New Roman"/>
          <w:i/>
          <w:sz w:val="24"/>
          <w:szCs w:val="24"/>
          <w:lang w:val="en-US"/>
        </w:rPr>
        <w:t>tres of world-class excellence…’</w:t>
      </w:r>
      <w:r w:rsidRPr="003A59C0">
        <w:rPr>
          <w:rFonts w:ascii="Times New Roman" w:eastAsia="Times New Roman" w:hAnsi="Times New Roman" w:cs="Times New Roman"/>
          <w:i/>
          <w:sz w:val="24"/>
          <w:szCs w:val="24"/>
          <w:lang w:val="en-US"/>
        </w:rPr>
        <w:t>.</w:t>
      </w:r>
      <w:r w:rsidRPr="003A59C0">
        <w:rPr>
          <w:rFonts w:ascii="Times New Roman" w:eastAsia="Times New Roman" w:hAnsi="Times New Roman" w:cs="Times New Roman"/>
          <w:sz w:val="24"/>
          <w:szCs w:val="24"/>
          <w:lang w:val="en-US"/>
        </w:rPr>
        <w:t xml:space="preserve"> </w:t>
      </w:r>
    </w:p>
    <w:p w:rsidR="001A2791" w:rsidRPr="003A59C0" w:rsidRDefault="001A2791" w:rsidP="006E008A">
      <w:pPr>
        <w:autoSpaceDE w:val="0"/>
        <w:autoSpaceDN w:val="0"/>
        <w:adjustRightInd w:val="0"/>
        <w:spacing w:after="0"/>
        <w:jc w:val="both"/>
        <w:rPr>
          <w:rFonts w:ascii="Times New Roman" w:eastAsia="Times New Roman" w:hAnsi="Times New Roman" w:cs="Times New Roman"/>
          <w:kern w:val="32"/>
          <w:sz w:val="24"/>
          <w:szCs w:val="24"/>
          <w:lang w:eastAsia="en-GB"/>
        </w:rPr>
      </w:pPr>
    </w:p>
    <w:p w:rsidR="00C74645" w:rsidRPr="003A59C0" w:rsidRDefault="00C74645" w:rsidP="006E008A">
      <w:pPr>
        <w:autoSpaceDE w:val="0"/>
        <w:autoSpaceDN w:val="0"/>
        <w:adjustRightInd w:val="0"/>
        <w:spacing w:after="0"/>
        <w:jc w:val="both"/>
        <w:rPr>
          <w:rFonts w:ascii="Times New Roman" w:eastAsia="Times New Roman" w:hAnsi="Times New Roman" w:cs="Times New Roman"/>
          <w:kern w:val="32"/>
          <w:sz w:val="24"/>
          <w:szCs w:val="24"/>
          <w:lang w:eastAsia="en-GB"/>
        </w:rPr>
      </w:pPr>
      <w:r w:rsidRPr="003A59C0">
        <w:rPr>
          <w:rFonts w:ascii="Times New Roman" w:eastAsia="Times New Roman" w:hAnsi="Times New Roman" w:cs="Times New Roman"/>
          <w:kern w:val="32"/>
          <w:sz w:val="24"/>
          <w:szCs w:val="24"/>
          <w:lang w:eastAsia="en-GB"/>
        </w:rPr>
        <w:t>In the initial communications, the recommendation on how to achieve this diversification objective focuses on funding. The Commis</w:t>
      </w:r>
      <w:r w:rsidR="0059658F" w:rsidRPr="003A59C0">
        <w:rPr>
          <w:rFonts w:ascii="Times New Roman" w:eastAsia="Times New Roman" w:hAnsi="Times New Roman" w:cs="Times New Roman"/>
          <w:kern w:val="32"/>
          <w:sz w:val="24"/>
          <w:szCs w:val="24"/>
          <w:lang w:eastAsia="en-GB"/>
        </w:rPr>
        <w:t>sion unambiguously states that ‘</w:t>
      </w:r>
      <w:r w:rsidRPr="003A59C0">
        <w:rPr>
          <w:rFonts w:ascii="Times New Roman" w:eastAsia="Times New Roman" w:hAnsi="Times New Roman" w:cs="Times New Roman"/>
          <w:i/>
          <w:sz w:val="24"/>
          <w:szCs w:val="24"/>
        </w:rPr>
        <w:t xml:space="preserve">the </w:t>
      </w:r>
      <w:r w:rsidRPr="003A59C0">
        <w:rPr>
          <w:rFonts w:ascii="Times New Roman" w:eastAsia="Times New Roman" w:hAnsi="Times New Roman" w:cs="Times New Roman"/>
          <w:i/>
          <w:iCs/>
          <w:sz w:val="24"/>
          <w:szCs w:val="24"/>
        </w:rPr>
        <w:t xml:space="preserve">concentration of research funding </w:t>
      </w:r>
      <w:r w:rsidRPr="003A59C0">
        <w:rPr>
          <w:rFonts w:ascii="Times New Roman" w:eastAsia="Times New Roman" w:hAnsi="Times New Roman" w:cs="Times New Roman"/>
          <w:i/>
          <w:sz w:val="24"/>
          <w:szCs w:val="24"/>
        </w:rPr>
        <w:t xml:space="preserve">on a smaller number of areas and institutions should lead to increased specialisation of the universities, in line with the move currently observed towards a European university area which is </w:t>
      </w:r>
      <w:r w:rsidRPr="003A59C0">
        <w:rPr>
          <w:rFonts w:ascii="Times New Roman" w:eastAsia="Times New Roman" w:hAnsi="Times New Roman" w:cs="Times New Roman"/>
          <w:i/>
          <w:iCs/>
          <w:sz w:val="24"/>
          <w:szCs w:val="24"/>
        </w:rPr>
        <w:t>more differentiated</w:t>
      </w:r>
      <w:r w:rsidR="0059658F"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2003</w:t>
      </w:r>
      <w:r w:rsidR="0098665E"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18; see also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2005</w:t>
      </w:r>
      <w:r w:rsidR="0098665E"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5). This </w:t>
      </w:r>
      <w:r w:rsidR="0059658F" w:rsidRPr="003A59C0">
        <w:rPr>
          <w:rFonts w:ascii="Times New Roman" w:eastAsia="Times New Roman" w:hAnsi="Times New Roman" w:cs="Times New Roman"/>
          <w:i/>
          <w:sz w:val="24"/>
          <w:szCs w:val="24"/>
        </w:rPr>
        <w:t>‘</w:t>
      </w:r>
      <w:r w:rsidRPr="003A59C0">
        <w:rPr>
          <w:rFonts w:ascii="Times New Roman" w:eastAsia="Times New Roman" w:hAnsi="Times New Roman" w:cs="Times New Roman"/>
          <w:i/>
          <w:sz w:val="24"/>
          <w:szCs w:val="24"/>
        </w:rPr>
        <w:t>requires more competition-based funding in research and more output-related funding in education</w:t>
      </w:r>
      <w:r w:rsidR="0059658F"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2005</w:t>
      </w:r>
      <w:r w:rsidR="0098665E"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8). In other words,  </w:t>
      </w:r>
      <w:r w:rsidR="0059658F" w:rsidRPr="003A59C0">
        <w:rPr>
          <w:rFonts w:ascii="Times New Roman" w:eastAsia="Times New Roman" w:hAnsi="Times New Roman" w:cs="Times New Roman"/>
          <w:sz w:val="24"/>
          <w:szCs w:val="24"/>
        </w:rPr>
        <w:t>‘</w:t>
      </w:r>
      <w:r w:rsidRPr="003A59C0">
        <w:rPr>
          <w:rFonts w:ascii="Times New Roman" w:eastAsia="Times New Roman" w:hAnsi="Times New Roman" w:cs="Times New Roman"/>
          <w:i/>
          <w:sz w:val="24"/>
          <w:szCs w:val="24"/>
        </w:rPr>
        <w:t>[</w:t>
      </w:r>
      <w:r w:rsidRPr="003A59C0">
        <w:rPr>
          <w:rFonts w:ascii="Times New Roman" w:eastAsia="Times New Roman" w:hAnsi="Times New Roman" w:cs="Times New Roman"/>
          <w:sz w:val="24"/>
          <w:szCs w:val="24"/>
        </w:rPr>
        <w:t>u</w:t>
      </w:r>
      <w:r w:rsidRPr="003A59C0">
        <w:rPr>
          <w:rFonts w:ascii="Times New Roman" w:eastAsia="Times New Roman" w:hAnsi="Times New Roman" w:cs="Times New Roman"/>
          <w:i/>
          <w:sz w:val="24"/>
          <w:szCs w:val="24"/>
        </w:rPr>
        <w:t xml:space="preserve">]niversities should be funded more for what they do than for what they are, </w:t>
      </w:r>
      <w:r w:rsidRPr="003A59C0">
        <w:rPr>
          <w:rFonts w:ascii="Times New Roman" w:eastAsia="Times New Roman" w:hAnsi="Times New Roman" w:cs="Times New Roman"/>
          <w:i/>
          <w:kern w:val="32"/>
          <w:sz w:val="24"/>
          <w:szCs w:val="24"/>
          <w:lang w:eastAsia="en-GB"/>
        </w:rPr>
        <w:t>by  focusing funding on relevant outputs rather than on inputs, and by adapting funding to the diversity of institutional profiles</w:t>
      </w:r>
      <w:r w:rsidR="0059658F"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w:t>
      </w:r>
      <w:r w:rsidR="00A51477" w:rsidRPr="003A59C0">
        <w:rPr>
          <w:rFonts w:ascii="Times New Roman" w:eastAsia="Times New Roman" w:hAnsi="Times New Roman" w:cs="Times New Roman"/>
          <w:kern w:val="32"/>
          <w:sz w:val="24"/>
          <w:szCs w:val="24"/>
          <w:lang w:eastAsia="en-GB"/>
        </w:rPr>
        <w:t>EC</w:t>
      </w:r>
      <w:r w:rsidRPr="003A59C0">
        <w:rPr>
          <w:rFonts w:ascii="Times New Roman" w:eastAsia="Times New Roman" w:hAnsi="Times New Roman" w:cs="Times New Roman"/>
          <w:kern w:val="32"/>
          <w:sz w:val="24"/>
          <w:szCs w:val="24"/>
          <w:lang w:eastAsia="en-GB"/>
        </w:rPr>
        <w:t xml:space="preserve"> 2006a</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7-8). It then further explicates diversification of funding schemes as follows (</w:t>
      </w:r>
      <w:r w:rsidR="00A51477" w:rsidRPr="003A59C0">
        <w:rPr>
          <w:rFonts w:ascii="Times New Roman" w:eastAsia="Times New Roman" w:hAnsi="Times New Roman" w:cs="Times New Roman"/>
          <w:kern w:val="32"/>
          <w:sz w:val="24"/>
          <w:szCs w:val="24"/>
          <w:lang w:eastAsia="en-GB"/>
        </w:rPr>
        <w:t>EC</w:t>
      </w:r>
      <w:r w:rsidRPr="003A59C0">
        <w:rPr>
          <w:rFonts w:ascii="Times New Roman" w:eastAsia="Times New Roman" w:hAnsi="Times New Roman" w:cs="Times New Roman"/>
          <w:kern w:val="32"/>
          <w:sz w:val="24"/>
          <w:szCs w:val="24"/>
          <w:lang w:eastAsia="en-GB"/>
        </w:rPr>
        <w:t xml:space="preserve"> 2006a</w:t>
      </w:r>
      <w:r w:rsidR="0098665E" w:rsidRPr="003A59C0">
        <w:rPr>
          <w:rFonts w:ascii="Times New Roman" w:eastAsia="Times New Roman" w:hAnsi="Times New Roman" w:cs="Times New Roman"/>
          <w:kern w:val="32"/>
          <w:sz w:val="24"/>
          <w:szCs w:val="24"/>
          <w:lang w:eastAsia="en-GB"/>
        </w:rPr>
        <w:t>,</w:t>
      </w:r>
      <w:r w:rsidRPr="003A59C0">
        <w:rPr>
          <w:rFonts w:ascii="Times New Roman" w:eastAsia="Times New Roman" w:hAnsi="Times New Roman" w:cs="Times New Roman"/>
          <w:kern w:val="32"/>
          <w:sz w:val="24"/>
          <w:szCs w:val="24"/>
          <w:lang w:eastAsia="en-GB"/>
        </w:rPr>
        <w:t xml:space="preserve"> 8): </w:t>
      </w:r>
      <w:r w:rsidR="0059658F" w:rsidRPr="003A59C0">
        <w:rPr>
          <w:rFonts w:ascii="Times New Roman" w:eastAsia="Times New Roman" w:hAnsi="Times New Roman" w:cs="Times New Roman"/>
          <w:i/>
          <w:kern w:val="32"/>
          <w:sz w:val="24"/>
          <w:szCs w:val="24"/>
          <w:lang w:eastAsia="en-GB"/>
        </w:rPr>
        <w:t>‘</w:t>
      </w:r>
      <w:r w:rsidRPr="003A59C0">
        <w:rPr>
          <w:rFonts w:ascii="Times New Roman" w:eastAsia="Times New Roman" w:hAnsi="Times New Roman" w:cs="Times New Roman"/>
          <w:i/>
          <w:kern w:val="32"/>
          <w:sz w:val="24"/>
          <w:szCs w:val="24"/>
          <w:lang w:eastAsia="en-GB"/>
        </w:rPr>
        <w:t xml:space="preserve">Research-active universities should not be assessed and funded on the same basis as others weaker in research but stronger in integrating students from disadvantaged groups or in acting as driving forces for local industry and services. […] Each country should therefore strike the right balance between core, competitive and outcome-based funding (underpinned by robust quality assurance) for </w:t>
      </w:r>
      <w:r w:rsidR="00F92032" w:rsidRPr="003A59C0">
        <w:rPr>
          <w:rFonts w:ascii="Times New Roman" w:eastAsia="Times New Roman" w:hAnsi="Times New Roman" w:cs="Times New Roman"/>
          <w:i/>
          <w:kern w:val="32"/>
          <w:sz w:val="24"/>
          <w:szCs w:val="24"/>
          <w:lang w:eastAsia="en-GB"/>
        </w:rPr>
        <w:t>HE</w:t>
      </w:r>
      <w:r w:rsidRPr="003A59C0">
        <w:rPr>
          <w:rFonts w:ascii="Times New Roman" w:eastAsia="Times New Roman" w:hAnsi="Times New Roman" w:cs="Times New Roman"/>
          <w:i/>
          <w:kern w:val="32"/>
          <w:sz w:val="24"/>
          <w:szCs w:val="24"/>
          <w:lang w:eastAsia="en-GB"/>
        </w:rPr>
        <w:t xml:space="preserve"> and university-based research. Competitive funding should be based on institutional evaluation systems and on diversified performance indicators with clearly defined targets and indicators supported by international benchmarking for both inputs and economic and soc</w:t>
      </w:r>
      <w:r w:rsidR="0059658F" w:rsidRPr="003A59C0">
        <w:rPr>
          <w:rFonts w:ascii="Times New Roman" w:eastAsia="Times New Roman" w:hAnsi="Times New Roman" w:cs="Times New Roman"/>
          <w:i/>
          <w:kern w:val="32"/>
          <w:sz w:val="24"/>
          <w:szCs w:val="24"/>
          <w:lang w:eastAsia="en-GB"/>
        </w:rPr>
        <w:t>ietal outputs’</w:t>
      </w:r>
      <w:r w:rsidRPr="003A59C0">
        <w:rPr>
          <w:rFonts w:ascii="Times New Roman" w:eastAsia="Times New Roman" w:hAnsi="Times New Roman" w:cs="Times New Roman"/>
          <w:i/>
          <w:kern w:val="32"/>
          <w:sz w:val="24"/>
          <w:szCs w:val="24"/>
          <w:lang w:eastAsia="en-GB"/>
        </w:rPr>
        <w:t>.</w:t>
      </w:r>
      <w:r w:rsidRPr="003A59C0">
        <w:rPr>
          <w:rFonts w:ascii="Times New Roman" w:eastAsia="Times New Roman" w:hAnsi="Times New Roman" w:cs="Times New Roman"/>
          <w:kern w:val="32"/>
          <w:sz w:val="24"/>
          <w:szCs w:val="24"/>
          <w:lang w:eastAsia="en-GB"/>
        </w:rPr>
        <w:t xml:space="preserve"> </w:t>
      </w:r>
    </w:p>
    <w:p w:rsidR="00C74645" w:rsidRPr="003A59C0" w:rsidRDefault="00C74645" w:rsidP="006E008A">
      <w:pPr>
        <w:autoSpaceDE w:val="0"/>
        <w:autoSpaceDN w:val="0"/>
        <w:adjustRightInd w:val="0"/>
        <w:spacing w:after="0"/>
        <w:jc w:val="both"/>
        <w:rPr>
          <w:rFonts w:ascii="Times New Roman" w:eastAsia="Times New Roman" w:hAnsi="Times New Roman" w:cs="Times New Roman"/>
          <w:kern w:val="32"/>
          <w:sz w:val="24"/>
          <w:szCs w:val="24"/>
          <w:lang w:eastAsia="en-GB"/>
        </w:rPr>
      </w:pPr>
    </w:p>
    <w:p w:rsidR="000D10F4" w:rsidRPr="003A59C0" w:rsidRDefault="00C74645" w:rsidP="006E008A">
      <w:pPr>
        <w:spacing w:after="0"/>
        <w:jc w:val="both"/>
        <w:rPr>
          <w:rFonts w:ascii="Times New Roman" w:eastAsia="Times New Roman" w:hAnsi="Times New Roman" w:cs="Times New Roman"/>
          <w:sz w:val="24"/>
          <w:szCs w:val="24"/>
        </w:rPr>
      </w:pPr>
      <w:r w:rsidRPr="003A59C0">
        <w:rPr>
          <w:rFonts w:ascii="Times New Roman" w:eastAsia="Times New Roman" w:hAnsi="Times New Roman" w:cs="Times New Roman"/>
          <w:sz w:val="24"/>
          <w:szCs w:val="24"/>
        </w:rPr>
        <w:t>From about 2008 on, another (complementary) recommendation on how to promote institutional diversification becomes highlighted. A new emphasis on the transparency</w:t>
      </w:r>
      <w:r w:rsidRPr="003A59C0">
        <w:rPr>
          <w:rFonts w:ascii="Times New Roman" w:eastAsia="Times New Roman" w:hAnsi="Times New Roman" w:cs="Times New Roman"/>
          <w:i/>
          <w:sz w:val="24"/>
          <w:szCs w:val="24"/>
        </w:rPr>
        <w:t xml:space="preserve"> </w:t>
      </w:r>
      <w:r w:rsidRPr="003A59C0">
        <w:rPr>
          <w:rFonts w:ascii="Times New Roman" w:eastAsia="Times New Roman" w:hAnsi="Times New Roman" w:cs="Times New Roman"/>
          <w:sz w:val="24"/>
          <w:szCs w:val="24"/>
        </w:rPr>
        <w:t xml:space="preserve">of university missions and performances can be noted from the Commission’s documents and – even more – from its project funding. Several pilot projects exploring ways to enhance the transparency and comparability of the missions and performance of </w:t>
      </w:r>
      <w:r w:rsidR="00F92032" w:rsidRPr="003A59C0">
        <w:rPr>
          <w:rFonts w:ascii="Times New Roman" w:eastAsia="Times New Roman" w:hAnsi="Times New Roman" w:cs="Times New Roman"/>
          <w:sz w:val="24"/>
          <w:szCs w:val="24"/>
        </w:rPr>
        <w:t>HE</w:t>
      </w:r>
      <w:r w:rsidRPr="003A59C0">
        <w:rPr>
          <w:rFonts w:ascii="Times New Roman" w:eastAsia="Times New Roman" w:hAnsi="Times New Roman" w:cs="Times New Roman"/>
          <w:sz w:val="24"/>
          <w:szCs w:val="24"/>
        </w:rPr>
        <w:t xml:space="preserve"> institutions, and indeed ways to rank the institutions, have obtained Commission funding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2008b</w:t>
      </w:r>
      <w:r w:rsidR="0098665E"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21). These tools are seen as complementing the quality assurance reports, which according </w:t>
      </w:r>
      <w:r w:rsidR="001A2791" w:rsidRPr="003A59C0">
        <w:rPr>
          <w:rFonts w:ascii="Times New Roman" w:eastAsia="Times New Roman" w:hAnsi="Times New Roman" w:cs="Times New Roman"/>
          <w:sz w:val="24"/>
          <w:szCs w:val="24"/>
        </w:rPr>
        <w:t>to the Commission (EC 2008: 6) ‘</w:t>
      </w:r>
      <w:r w:rsidRPr="003A59C0">
        <w:rPr>
          <w:rFonts w:ascii="Times New Roman" w:eastAsia="Times New Roman" w:hAnsi="Times New Roman" w:cs="Times New Roman"/>
          <w:i/>
          <w:sz w:val="24"/>
          <w:szCs w:val="24"/>
        </w:rPr>
        <w:t>contain a wealth of information, but they do not provide comparison</w:t>
      </w:r>
      <w:r w:rsidR="001A2791"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The various transparency and performance measuring tools developed are intended not only at </w:t>
      </w:r>
      <w:r w:rsidRPr="003A59C0">
        <w:rPr>
          <w:rFonts w:ascii="Times New Roman" w:eastAsia="Times New Roman" w:hAnsi="Times New Roman" w:cs="Times New Roman"/>
          <w:kern w:val="32"/>
          <w:sz w:val="24"/>
          <w:szCs w:val="24"/>
          <w:lang w:eastAsia="en-GB"/>
        </w:rPr>
        <w:t>making institutional diversity in Europe more transparent,</w:t>
      </w:r>
      <w:r w:rsidR="001A2791" w:rsidRPr="003A59C0">
        <w:rPr>
          <w:rFonts w:ascii="Times New Roman" w:eastAsia="Times New Roman" w:hAnsi="Times New Roman" w:cs="Times New Roman"/>
          <w:kern w:val="32"/>
          <w:sz w:val="24"/>
          <w:szCs w:val="24"/>
          <w:lang w:eastAsia="en-GB"/>
        </w:rPr>
        <w:t xml:space="preserve"> but also to help institutions ‘</w:t>
      </w:r>
      <w:r w:rsidRPr="003A59C0">
        <w:rPr>
          <w:rFonts w:ascii="Times New Roman" w:eastAsia="Times New Roman" w:hAnsi="Times New Roman" w:cs="Times New Roman"/>
          <w:i/>
          <w:sz w:val="24"/>
          <w:szCs w:val="24"/>
        </w:rPr>
        <w:t>to better position themselves, improve their development strategies and find the most suitable partner institutions</w:t>
      </w:r>
      <w:r w:rsidR="001A2791"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2008</w:t>
      </w:r>
      <w:r w:rsidR="002164DD" w:rsidRPr="003A59C0">
        <w:rPr>
          <w:rFonts w:ascii="Times New Roman" w:eastAsia="Times New Roman" w:hAnsi="Times New Roman" w:cs="Times New Roman"/>
          <w:sz w:val="24"/>
          <w:szCs w:val="24"/>
        </w:rPr>
        <w:t>,</w:t>
      </w:r>
      <w:r w:rsidR="001A2791" w:rsidRPr="003A59C0">
        <w:rPr>
          <w:rFonts w:ascii="Times New Roman" w:eastAsia="Times New Roman" w:hAnsi="Times New Roman" w:cs="Times New Roman"/>
          <w:sz w:val="24"/>
          <w:szCs w:val="24"/>
        </w:rPr>
        <w:t xml:space="preserve"> 7). </w:t>
      </w:r>
      <w:r w:rsidR="005C5B5A" w:rsidRPr="003A59C0">
        <w:rPr>
          <w:rFonts w:ascii="Times New Roman" w:eastAsia="Times New Roman" w:hAnsi="Times New Roman" w:cs="Times New Roman"/>
          <w:sz w:val="24"/>
          <w:szCs w:val="24"/>
        </w:rPr>
        <w:t>EC c</w:t>
      </w:r>
      <w:r w:rsidR="001A2791" w:rsidRPr="003A59C0">
        <w:rPr>
          <w:rFonts w:ascii="Times New Roman" w:eastAsia="Times New Roman" w:hAnsi="Times New Roman" w:cs="Times New Roman"/>
          <w:sz w:val="24"/>
          <w:szCs w:val="24"/>
        </w:rPr>
        <w:t>onsider</w:t>
      </w:r>
      <w:r w:rsidR="005C5B5A" w:rsidRPr="003A59C0">
        <w:rPr>
          <w:rFonts w:ascii="Times New Roman" w:eastAsia="Times New Roman" w:hAnsi="Times New Roman" w:cs="Times New Roman"/>
          <w:sz w:val="24"/>
          <w:szCs w:val="24"/>
        </w:rPr>
        <w:t>s</w:t>
      </w:r>
      <w:r w:rsidR="001A2791" w:rsidRPr="003A59C0">
        <w:rPr>
          <w:rFonts w:ascii="Times New Roman" w:eastAsia="Times New Roman" w:hAnsi="Times New Roman" w:cs="Times New Roman"/>
          <w:sz w:val="24"/>
          <w:szCs w:val="24"/>
        </w:rPr>
        <w:t xml:space="preserve"> rankings as ‘</w:t>
      </w:r>
      <w:r w:rsidRPr="003A59C0">
        <w:rPr>
          <w:rFonts w:ascii="Times New Roman" w:eastAsia="Times New Roman" w:hAnsi="Times New Roman" w:cs="Times New Roman"/>
          <w:i/>
          <w:sz w:val="24"/>
          <w:szCs w:val="24"/>
        </w:rPr>
        <w:t>a useful tool for comp</w:t>
      </w:r>
      <w:r w:rsidR="002164DD" w:rsidRPr="003A59C0">
        <w:rPr>
          <w:rFonts w:ascii="Times New Roman" w:eastAsia="Times New Roman" w:hAnsi="Times New Roman" w:cs="Times New Roman"/>
          <w:i/>
          <w:sz w:val="24"/>
          <w:szCs w:val="24"/>
        </w:rPr>
        <w:t xml:space="preserve">arison and contrast between </w:t>
      </w:r>
      <w:r w:rsidR="00F92032" w:rsidRPr="003A59C0">
        <w:rPr>
          <w:rFonts w:ascii="Times New Roman" w:eastAsia="Times New Roman" w:hAnsi="Times New Roman" w:cs="Times New Roman"/>
          <w:i/>
          <w:sz w:val="24"/>
          <w:szCs w:val="24"/>
        </w:rPr>
        <w:t>HE</w:t>
      </w:r>
      <w:r w:rsidR="002164DD" w:rsidRPr="003A59C0">
        <w:rPr>
          <w:rFonts w:ascii="Times New Roman" w:eastAsia="Times New Roman" w:hAnsi="Times New Roman" w:cs="Times New Roman"/>
          <w:i/>
          <w:sz w:val="24"/>
          <w:szCs w:val="24"/>
        </w:rPr>
        <w:t xml:space="preserve"> institutions</w:t>
      </w:r>
      <w:r w:rsidRPr="003A59C0">
        <w:rPr>
          <w:rFonts w:ascii="Times New Roman" w:eastAsia="Times New Roman" w:hAnsi="Times New Roman" w:cs="Times New Roman"/>
          <w:i/>
          <w:sz w:val="24"/>
          <w:szCs w:val="24"/>
        </w:rPr>
        <w:t xml:space="preserve"> and their programmes</w:t>
      </w:r>
      <w:r w:rsidR="001A2791"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w:t>
      </w:r>
      <w:r w:rsidR="00A51477" w:rsidRPr="003A59C0">
        <w:rPr>
          <w:rFonts w:ascii="Times New Roman" w:eastAsia="Times New Roman" w:hAnsi="Times New Roman" w:cs="Times New Roman"/>
          <w:sz w:val="24"/>
          <w:szCs w:val="24"/>
        </w:rPr>
        <w:t>EC</w:t>
      </w:r>
      <w:r w:rsidRPr="003A59C0">
        <w:rPr>
          <w:rFonts w:ascii="Times New Roman" w:eastAsia="Times New Roman" w:hAnsi="Times New Roman" w:cs="Times New Roman"/>
          <w:sz w:val="24"/>
          <w:szCs w:val="24"/>
        </w:rPr>
        <w:t xml:space="preserve"> 2009</w:t>
      </w:r>
      <w:r w:rsidR="002164DD"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25</w:t>
      </w:r>
      <w:r w:rsidR="005C5B5A" w:rsidRPr="003A59C0">
        <w:rPr>
          <w:rFonts w:ascii="Times New Roman" w:eastAsia="Times New Roman" w:hAnsi="Times New Roman" w:cs="Times New Roman"/>
          <w:sz w:val="24"/>
          <w:szCs w:val="24"/>
        </w:rPr>
        <w:t>).</w:t>
      </w:r>
      <w:r w:rsidRPr="003A59C0">
        <w:rPr>
          <w:rFonts w:ascii="Times New Roman" w:eastAsia="Times New Roman" w:hAnsi="Times New Roman" w:cs="Times New Roman"/>
          <w:sz w:val="24"/>
          <w:szCs w:val="24"/>
        </w:rPr>
        <w:t xml:space="preserve"> </w:t>
      </w:r>
    </w:p>
    <w:p w:rsidR="006F6105" w:rsidRPr="003A59C0" w:rsidRDefault="006F6105" w:rsidP="006E008A">
      <w:pPr>
        <w:spacing w:after="0"/>
        <w:jc w:val="both"/>
        <w:rPr>
          <w:rFonts w:ascii="Times New Roman" w:eastAsia="Times New Roman" w:hAnsi="Times New Roman" w:cs="Times New Roman"/>
          <w:sz w:val="24"/>
          <w:szCs w:val="24"/>
        </w:rPr>
      </w:pPr>
    </w:p>
    <w:p w:rsidR="00C74645" w:rsidRPr="003A59C0" w:rsidRDefault="00C74645" w:rsidP="006E008A">
      <w:pPr>
        <w:spacing w:after="0"/>
        <w:jc w:val="both"/>
        <w:rPr>
          <w:rFonts w:ascii="Times New Roman" w:eastAsia="Times New Roman" w:hAnsi="Times New Roman" w:cs="Times New Roman"/>
          <w:kern w:val="32"/>
          <w:sz w:val="24"/>
          <w:szCs w:val="24"/>
          <w:lang w:eastAsia="en-GB"/>
        </w:rPr>
      </w:pPr>
      <w:r w:rsidRPr="003A59C0">
        <w:rPr>
          <w:rFonts w:ascii="Times New Roman" w:eastAsia="Times New Roman" w:hAnsi="Times New Roman" w:cs="Times New Roman"/>
          <w:sz w:val="24"/>
          <w:szCs w:val="24"/>
        </w:rPr>
        <w:t xml:space="preserve">The question that now emerges is to what extent </w:t>
      </w:r>
      <w:r w:rsidR="00C73F34" w:rsidRPr="003A59C0">
        <w:rPr>
          <w:rFonts w:ascii="Times New Roman" w:eastAsia="Times New Roman" w:hAnsi="Times New Roman" w:cs="Times New Roman"/>
          <w:sz w:val="24"/>
          <w:szCs w:val="24"/>
        </w:rPr>
        <w:t xml:space="preserve">cab we trace these policy recommendations in the strategic and regulatory documents of the </w:t>
      </w:r>
      <w:r w:rsidR="00820463" w:rsidRPr="003A59C0">
        <w:rPr>
          <w:rFonts w:ascii="Times New Roman" w:eastAsia="Times New Roman" w:hAnsi="Times New Roman" w:cs="Times New Roman"/>
          <w:sz w:val="24"/>
          <w:szCs w:val="24"/>
        </w:rPr>
        <w:t xml:space="preserve">four </w:t>
      </w:r>
      <w:r w:rsidR="0078518D" w:rsidRPr="003A59C0">
        <w:rPr>
          <w:rFonts w:ascii="Times New Roman" w:eastAsia="Times New Roman" w:hAnsi="Times New Roman" w:cs="Times New Roman"/>
          <w:sz w:val="24"/>
          <w:szCs w:val="24"/>
        </w:rPr>
        <w:t>Western Balkan countries</w:t>
      </w:r>
      <w:r w:rsidRPr="003A59C0">
        <w:rPr>
          <w:rFonts w:ascii="Times New Roman" w:eastAsia="Times New Roman" w:hAnsi="Times New Roman" w:cs="Times New Roman"/>
          <w:sz w:val="24"/>
          <w:szCs w:val="24"/>
        </w:rPr>
        <w:t>?</w:t>
      </w:r>
      <w:r w:rsidR="00A442A4" w:rsidRPr="003A59C0">
        <w:rPr>
          <w:rFonts w:ascii="Times New Roman" w:eastAsia="Times New Roman" w:hAnsi="Times New Roman" w:cs="Times New Roman"/>
          <w:sz w:val="24"/>
          <w:szCs w:val="24"/>
        </w:rPr>
        <w:t xml:space="preserve"> </w:t>
      </w:r>
      <w:r w:rsidRPr="003A59C0">
        <w:rPr>
          <w:rFonts w:ascii="Times New Roman" w:eastAsia="Times New Roman" w:hAnsi="Times New Roman" w:cs="Times New Roman"/>
          <w:kern w:val="32"/>
          <w:sz w:val="24"/>
          <w:szCs w:val="24"/>
          <w:lang w:eastAsia="en-GB"/>
        </w:rPr>
        <w:t xml:space="preserve">All have been members of the Bologna Process, and </w:t>
      </w:r>
      <w:r w:rsidR="0078518D" w:rsidRPr="003A59C0">
        <w:rPr>
          <w:rFonts w:ascii="Times New Roman" w:eastAsia="Times New Roman" w:hAnsi="Times New Roman" w:cs="Times New Roman"/>
          <w:kern w:val="32"/>
          <w:sz w:val="24"/>
          <w:szCs w:val="24"/>
          <w:lang w:eastAsia="en-GB"/>
        </w:rPr>
        <w:t xml:space="preserve">have </w:t>
      </w:r>
      <w:r w:rsidRPr="003A59C0">
        <w:rPr>
          <w:rFonts w:ascii="Times New Roman" w:eastAsia="Times New Roman" w:hAnsi="Times New Roman" w:cs="Times New Roman"/>
          <w:kern w:val="32"/>
          <w:sz w:val="24"/>
          <w:szCs w:val="24"/>
          <w:lang w:eastAsia="en-GB"/>
        </w:rPr>
        <w:t>– to different degrees</w:t>
      </w:r>
      <w:r w:rsidR="0078518D" w:rsidRPr="003A59C0">
        <w:rPr>
          <w:rFonts w:ascii="Times New Roman" w:eastAsia="Times New Roman" w:hAnsi="Times New Roman" w:cs="Times New Roman"/>
          <w:kern w:val="32"/>
          <w:sz w:val="24"/>
          <w:szCs w:val="24"/>
          <w:lang w:eastAsia="en-GB"/>
        </w:rPr>
        <w:t xml:space="preserve"> and through different funding mechanisms</w:t>
      </w:r>
      <w:r w:rsidRPr="003A59C0">
        <w:rPr>
          <w:rFonts w:ascii="Times New Roman" w:eastAsia="Times New Roman" w:hAnsi="Times New Roman" w:cs="Times New Roman"/>
          <w:kern w:val="32"/>
          <w:sz w:val="24"/>
          <w:szCs w:val="24"/>
          <w:lang w:eastAsia="en-GB"/>
        </w:rPr>
        <w:t xml:space="preserve"> - participated in the </w:t>
      </w:r>
      <w:r w:rsidR="00C73F34" w:rsidRPr="003A59C0">
        <w:rPr>
          <w:rFonts w:ascii="Times New Roman" w:eastAsia="Times New Roman" w:hAnsi="Times New Roman" w:cs="Times New Roman"/>
          <w:kern w:val="32"/>
          <w:sz w:val="24"/>
          <w:szCs w:val="24"/>
          <w:lang w:eastAsia="en-GB"/>
        </w:rPr>
        <w:t>EU</w:t>
      </w:r>
      <w:r w:rsidRPr="003A59C0">
        <w:rPr>
          <w:rFonts w:ascii="Times New Roman" w:eastAsia="Times New Roman" w:hAnsi="Times New Roman" w:cs="Times New Roman"/>
          <w:kern w:val="32"/>
          <w:sz w:val="24"/>
          <w:szCs w:val="24"/>
          <w:lang w:eastAsia="en-GB"/>
        </w:rPr>
        <w:t xml:space="preserve"> education and research initiatives. </w:t>
      </w:r>
      <w:r w:rsidR="00C73F34" w:rsidRPr="003A59C0">
        <w:rPr>
          <w:rFonts w:ascii="Times New Roman" w:eastAsia="Times New Roman" w:hAnsi="Times New Roman" w:cs="Times New Roman"/>
          <w:kern w:val="32"/>
          <w:sz w:val="24"/>
          <w:szCs w:val="24"/>
          <w:lang w:eastAsia="en-GB"/>
        </w:rPr>
        <w:t>What policies regarding institutional diversification are pursued in Albania, Croatia, Serbia and Slovenia?</w:t>
      </w:r>
    </w:p>
    <w:p w:rsidR="00C74645" w:rsidRPr="003A59C0" w:rsidRDefault="00342888" w:rsidP="006E008A">
      <w:pPr>
        <w:pStyle w:val="Heading1"/>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Review of current nation</w:t>
      </w:r>
      <w:r w:rsidR="00C73F34" w:rsidRPr="003A59C0">
        <w:rPr>
          <w:rFonts w:ascii="Times New Roman" w:hAnsi="Times New Roman" w:cs="Times New Roman"/>
          <w:sz w:val="24"/>
          <w:szCs w:val="24"/>
          <w:lang w:val="en-US"/>
        </w:rPr>
        <w:t xml:space="preserve">al policy initiatives on institutional </w:t>
      </w:r>
      <w:r w:rsidRPr="003A59C0">
        <w:rPr>
          <w:rFonts w:ascii="Times New Roman" w:hAnsi="Times New Roman" w:cs="Times New Roman"/>
          <w:sz w:val="24"/>
          <w:szCs w:val="24"/>
          <w:lang w:val="en-US"/>
        </w:rPr>
        <w:t xml:space="preserve">diversification </w:t>
      </w:r>
    </w:p>
    <w:p w:rsidR="00694B33" w:rsidRPr="003A59C0" w:rsidRDefault="00694B33" w:rsidP="00694B33">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Comparing </w:t>
      </w:r>
      <w:r w:rsidR="00204650" w:rsidRPr="003A59C0">
        <w:rPr>
          <w:rFonts w:ascii="Times New Roman" w:hAnsi="Times New Roman" w:cs="Times New Roman"/>
          <w:sz w:val="24"/>
          <w:szCs w:val="24"/>
          <w:lang w:val="en-US"/>
        </w:rPr>
        <w:t xml:space="preserve">the countries’ </w:t>
      </w:r>
      <w:r w:rsidRPr="003A59C0">
        <w:rPr>
          <w:rFonts w:ascii="Times New Roman" w:hAnsi="Times New Roman" w:cs="Times New Roman"/>
          <w:sz w:val="24"/>
          <w:szCs w:val="24"/>
          <w:lang w:val="en-US"/>
        </w:rPr>
        <w:t xml:space="preserve">strategic and regulatory documents in terms of their institutional diversification strategy </w:t>
      </w:r>
      <w:r w:rsidR="00204650" w:rsidRPr="003A59C0">
        <w:rPr>
          <w:rFonts w:ascii="Times New Roman" w:hAnsi="Times New Roman" w:cs="Times New Roman"/>
          <w:sz w:val="24"/>
          <w:szCs w:val="24"/>
          <w:lang w:val="en-US"/>
        </w:rPr>
        <w:t xml:space="preserve">we can derive </w:t>
      </w:r>
      <w:r w:rsidR="00C73F34" w:rsidRPr="003A59C0">
        <w:rPr>
          <w:rFonts w:ascii="Times New Roman" w:hAnsi="Times New Roman" w:cs="Times New Roman"/>
          <w:sz w:val="24"/>
          <w:szCs w:val="24"/>
          <w:lang w:val="en-US"/>
        </w:rPr>
        <w:t>two</w:t>
      </w:r>
      <w:r w:rsidR="00204650" w:rsidRPr="003A59C0">
        <w:rPr>
          <w:rFonts w:ascii="Times New Roman" w:hAnsi="Times New Roman" w:cs="Times New Roman"/>
          <w:sz w:val="24"/>
          <w:szCs w:val="24"/>
          <w:lang w:val="en-US"/>
        </w:rPr>
        <w:t xml:space="preserve"> main findings regardi</w:t>
      </w:r>
      <w:r w:rsidRPr="003A59C0">
        <w:rPr>
          <w:rFonts w:ascii="Times New Roman" w:hAnsi="Times New Roman" w:cs="Times New Roman"/>
          <w:sz w:val="24"/>
          <w:szCs w:val="24"/>
          <w:lang w:val="en-US"/>
        </w:rPr>
        <w:t xml:space="preserve">ng the prevailing dimensions of diversity promoted, and the support measures </w:t>
      </w:r>
      <w:r w:rsidR="00C73F34" w:rsidRPr="003A59C0">
        <w:rPr>
          <w:rFonts w:ascii="Times New Roman" w:hAnsi="Times New Roman" w:cs="Times New Roman"/>
          <w:sz w:val="24"/>
          <w:szCs w:val="24"/>
          <w:lang w:val="en-US"/>
        </w:rPr>
        <w:t>in</w:t>
      </w:r>
      <w:r w:rsidRPr="003A59C0">
        <w:rPr>
          <w:rFonts w:ascii="Times New Roman" w:hAnsi="Times New Roman" w:cs="Times New Roman"/>
          <w:sz w:val="24"/>
          <w:szCs w:val="24"/>
          <w:lang w:val="en-US"/>
        </w:rPr>
        <w:t xml:space="preserve"> funding, accreditation and transparency tools. </w:t>
      </w:r>
    </w:p>
    <w:p w:rsidR="00FE0F89" w:rsidRPr="003A59C0" w:rsidRDefault="003A59C0" w:rsidP="00497F81">
      <w:pPr>
        <w:jc w:val="both"/>
        <w:rPr>
          <w:rFonts w:ascii="Times New Roman" w:hAnsi="Times New Roman" w:cs="Times New Roman"/>
          <w:sz w:val="24"/>
          <w:szCs w:val="24"/>
        </w:rPr>
      </w:pPr>
      <w:r w:rsidRPr="003A59C0">
        <w:rPr>
          <w:rFonts w:ascii="Times New Roman" w:hAnsi="Times New Roman" w:cs="Times New Roman"/>
          <w:sz w:val="24"/>
          <w:szCs w:val="24"/>
        </w:rPr>
        <w:t xml:space="preserve">First, </w:t>
      </w:r>
      <w:r w:rsidR="00694B33" w:rsidRPr="003A59C0">
        <w:rPr>
          <w:rFonts w:ascii="Times New Roman" w:hAnsi="Times New Roman" w:cs="Times New Roman"/>
          <w:sz w:val="24"/>
          <w:szCs w:val="24"/>
          <w:lang w:val="en-US"/>
        </w:rPr>
        <w:t xml:space="preserve">all countries </w:t>
      </w:r>
      <w:r w:rsidR="008D0B78">
        <w:rPr>
          <w:rFonts w:ascii="Times New Roman" w:hAnsi="Times New Roman" w:cs="Times New Roman"/>
          <w:sz w:val="24"/>
          <w:szCs w:val="24"/>
          <w:lang w:val="en-US"/>
        </w:rPr>
        <w:t>have been working on</w:t>
      </w:r>
      <w:r w:rsidR="00C11FB4" w:rsidRPr="003A59C0">
        <w:rPr>
          <w:rFonts w:ascii="Times New Roman" w:hAnsi="Times New Roman" w:cs="Times New Roman"/>
          <w:sz w:val="24"/>
          <w:szCs w:val="24"/>
          <w:lang w:val="en-US"/>
        </w:rPr>
        <w:t xml:space="preserve"> consolidat</w:t>
      </w:r>
      <w:r w:rsidR="008D0B78">
        <w:rPr>
          <w:rFonts w:ascii="Times New Roman" w:hAnsi="Times New Roman" w:cs="Times New Roman"/>
          <w:sz w:val="24"/>
          <w:szCs w:val="24"/>
          <w:lang w:val="en-US"/>
        </w:rPr>
        <w:t>ing</w:t>
      </w:r>
      <w:r w:rsidR="00C11FB4" w:rsidRPr="003A59C0">
        <w:rPr>
          <w:rFonts w:ascii="Times New Roman" w:hAnsi="Times New Roman" w:cs="Times New Roman"/>
          <w:sz w:val="24"/>
          <w:szCs w:val="24"/>
          <w:lang w:val="en-US"/>
        </w:rPr>
        <w:t xml:space="preserve"> binary structure</w:t>
      </w:r>
      <w:r w:rsidR="008D0B78">
        <w:rPr>
          <w:rFonts w:ascii="Times New Roman" w:hAnsi="Times New Roman" w:cs="Times New Roman"/>
          <w:sz w:val="24"/>
          <w:szCs w:val="24"/>
          <w:lang w:val="en-US"/>
        </w:rPr>
        <w:t xml:space="preserve"> acknowledging that earlier efforts have not been fully successful. </w:t>
      </w:r>
      <w:r w:rsidR="002246BC" w:rsidRPr="003A59C0">
        <w:rPr>
          <w:rFonts w:ascii="Times New Roman" w:hAnsi="Times New Roman" w:cs="Times New Roman"/>
          <w:sz w:val="24"/>
          <w:szCs w:val="24"/>
          <w:lang w:val="en-US"/>
        </w:rPr>
        <w:t>For example, in Albania, the HE Stra</w:t>
      </w:r>
      <w:r w:rsidR="00811373" w:rsidRPr="003A59C0">
        <w:rPr>
          <w:rFonts w:ascii="Times New Roman" w:hAnsi="Times New Roman" w:cs="Times New Roman"/>
          <w:sz w:val="24"/>
          <w:szCs w:val="24"/>
          <w:lang w:val="en-US"/>
        </w:rPr>
        <w:t>tegy 2008-2013 recognises that ‘</w:t>
      </w:r>
      <w:r w:rsidR="002246BC" w:rsidRPr="003A59C0">
        <w:rPr>
          <w:rFonts w:ascii="Times New Roman" w:hAnsi="Times New Roman" w:cs="Times New Roman"/>
          <w:sz w:val="24"/>
          <w:szCs w:val="24"/>
          <w:lang w:val="en-US"/>
        </w:rPr>
        <w:t>the current system is highly homogeneous and does not encourage HE institutio</w:t>
      </w:r>
      <w:r w:rsidR="008D0B78">
        <w:rPr>
          <w:rFonts w:ascii="Times New Roman" w:hAnsi="Times New Roman" w:cs="Times New Roman"/>
          <w:sz w:val="24"/>
          <w:szCs w:val="24"/>
          <w:lang w:val="en-US"/>
        </w:rPr>
        <w:t>ns to undertake any activities’</w:t>
      </w:r>
      <w:r w:rsidR="00C31800">
        <w:rPr>
          <w:rFonts w:ascii="Times New Roman" w:hAnsi="Times New Roman" w:cs="Times New Roman"/>
          <w:sz w:val="24"/>
          <w:szCs w:val="24"/>
          <w:lang w:val="en-US"/>
        </w:rPr>
        <w:t xml:space="preserve"> </w:t>
      </w:r>
      <w:r w:rsidR="002246BC" w:rsidRPr="003A59C0">
        <w:rPr>
          <w:rFonts w:ascii="Times New Roman" w:hAnsi="Times New Roman" w:cs="Times New Roman"/>
          <w:sz w:val="24"/>
          <w:szCs w:val="24"/>
          <w:lang w:val="en-US"/>
        </w:rPr>
        <w:t xml:space="preserve">(Albania 2008, point 7). In the preamble of the Croatian Draft Law on Universities released in 2011, it is stated that the binary structure has not fully actualised. Professional studies continue to be performed also in universities, where they are considered “more demanding” than those performed in professional HE institutions (Croatia 2011, 3). </w:t>
      </w:r>
      <w:r w:rsidR="008D0B78">
        <w:rPr>
          <w:rFonts w:ascii="Times New Roman" w:hAnsi="Times New Roman" w:cs="Times New Roman"/>
          <w:sz w:val="24"/>
          <w:szCs w:val="24"/>
          <w:lang w:val="en-US"/>
        </w:rPr>
        <w:t xml:space="preserve">Accordingly, </w:t>
      </w:r>
      <w:r w:rsidR="00811373" w:rsidRPr="003A59C0">
        <w:rPr>
          <w:rFonts w:ascii="Times New Roman" w:hAnsi="Times New Roman" w:cs="Times New Roman"/>
          <w:sz w:val="24"/>
          <w:szCs w:val="24"/>
          <w:lang w:val="en-US"/>
        </w:rPr>
        <w:t xml:space="preserve">the Croatian </w:t>
      </w:r>
      <w:r w:rsidR="00661770" w:rsidRPr="003A59C0">
        <w:rPr>
          <w:rFonts w:ascii="Times New Roman" w:hAnsi="Times New Roman" w:cs="Times New Roman"/>
          <w:sz w:val="24"/>
          <w:szCs w:val="24"/>
          <w:lang w:val="en-US"/>
        </w:rPr>
        <w:t xml:space="preserve">Directions for strategy for education, </w:t>
      </w:r>
      <w:r w:rsidR="00647C52" w:rsidRPr="003A59C0">
        <w:rPr>
          <w:rFonts w:ascii="Times New Roman" w:hAnsi="Times New Roman" w:cs="Times New Roman"/>
          <w:sz w:val="24"/>
          <w:szCs w:val="24"/>
          <w:lang w:val="en-US"/>
        </w:rPr>
        <w:t>HE</w:t>
      </w:r>
      <w:r w:rsidR="00811373" w:rsidRPr="003A59C0">
        <w:rPr>
          <w:rFonts w:ascii="Times New Roman" w:hAnsi="Times New Roman" w:cs="Times New Roman"/>
          <w:sz w:val="24"/>
          <w:szCs w:val="24"/>
          <w:lang w:val="en-US"/>
        </w:rPr>
        <w:t xml:space="preserve"> and science and technology (Croatia 2012, 30)</w:t>
      </w:r>
      <w:r w:rsidR="008D0B78">
        <w:rPr>
          <w:rFonts w:ascii="Times New Roman" w:hAnsi="Times New Roman" w:cs="Times New Roman"/>
          <w:sz w:val="24"/>
          <w:szCs w:val="24"/>
          <w:lang w:val="en-US"/>
        </w:rPr>
        <w:t xml:space="preserve"> stipulate that</w:t>
      </w:r>
      <w:r w:rsidR="00811373" w:rsidRPr="003A59C0">
        <w:rPr>
          <w:rFonts w:ascii="Times New Roman" w:hAnsi="Times New Roman" w:cs="Times New Roman"/>
          <w:sz w:val="24"/>
          <w:szCs w:val="24"/>
          <w:lang w:val="en-US"/>
        </w:rPr>
        <w:t xml:space="preserve"> ‘</w:t>
      </w:r>
      <w:r w:rsidR="00661770" w:rsidRPr="003A59C0">
        <w:rPr>
          <w:rFonts w:ascii="Times New Roman" w:hAnsi="Times New Roman" w:cs="Times New Roman"/>
          <w:sz w:val="24"/>
          <w:szCs w:val="24"/>
          <w:lang w:val="en-US"/>
        </w:rPr>
        <w:t>all colleges cannot and should not be in the same way [a</w:t>
      </w:r>
      <w:r w:rsidR="00811373" w:rsidRPr="003A59C0">
        <w:rPr>
          <w:rFonts w:ascii="Times New Roman" w:hAnsi="Times New Roman" w:cs="Times New Roman"/>
          <w:sz w:val="24"/>
          <w:szCs w:val="24"/>
          <w:lang w:val="en-US"/>
        </w:rPr>
        <w:t>s universities] research-driven’</w:t>
      </w:r>
      <w:r w:rsidR="00661770" w:rsidRPr="003A59C0">
        <w:rPr>
          <w:rFonts w:ascii="Times New Roman" w:hAnsi="Times New Roman" w:cs="Times New Roman"/>
          <w:sz w:val="24"/>
          <w:szCs w:val="24"/>
          <w:lang w:val="en-US"/>
        </w:rPr>
        <w:t xml:space="preserve">. In Serbia, </w:t>
      </w:r>
      <w:r w:rsidR="00497F81" w:rsidRPr="003A59C0">
        <w:rPr>
          <w:rFonts w:ascii="Times New Roman" w:hAnsi="Times New Roman" w:cs="Times New Roman"/>
          <w:sz w:val="24"/>
          <w:szCs w:val="24"/>
          <w:lang w:val="en-US"/>
        </w:rPr>
        <w:t xml:space="preserve">the new HE strategy </w:t>
      </w:r>
      <w:r w:rsidR="008D0B78">
        <w:rPr>
          <w:rFonts w:ascii="Times New Roman" w:hAnsi="Times New Roman" w:cs="Times New Roman"/>
          <w:sz w:val="24"/>
          <w:szCs w:val="24"/>
          <w:lang w:val="en-US"/>
        </w:rPr>
        <w:t>is</w:t>
      </w:r>
      <w:r w:rsidR="00497F81" w:rsidRPr="003A59C0">
        <w:rPr>
          <w:rFonts w:ascii="Times New Roman" w:hAnsi="Times New Roman" w:cs="Times New Roman"/>
          <w:sz w:val="24"/>
          <w:szCs w:val="24"/>
          <w:lang w:val="en-US"/>
        </w:rPr>
        <w:t xml:space="preserve"> forthcoming in directing t</w:t>
      </w:r>
      <w:r w:rsidR="00E652E3" w:rsidRPr="003A59C0">
        <w:rPr>
          <w:rFonts w:ascii="Times New Roman" w:hAnsi="Times New Roman" w:cs="Times New Roman"/>
          <w:sz w:val="24"/>
          <w:szCs w:val="24"/>
          <w:lang w:val="en-US"/>
        </w:rPr>
        <w:t>he academies of professional programmes, academic of professional schools and professional schools towards development of</w:t>
      </w:r>
      <w:r w:rsidR="00811373" w:rsidRPr="003A59C0">
        <w:rPr>
          <w:rFonts w:ascii="Times New Roman" w:hAnsi="Times New Roman" w:cs="Times New Roman"/>
          <w:sz w:val="24"/>
          <w:szCs w:val="24"/>
          <w:lang w:val="en-US"/>
        </w:rPr>
        <w:t xml:space="preserve"> professional education</w:t>
      </w:r>
      <w:r w:rsidR="00497F81" w:rsidRPr="003A59C0">
        <w:rPr>
          <w:rFonts w:ascii="Times New Roman" w:hAnsi="Times New Roman" w:cs="Times New Roman"/>
          <w:sz w:val="24"/>
          <w:szCs w:val="24"/>
          <w:lang w:val="en-US"/>
        </w:rPr>
        <w:t xml:space="preserve"> with allusion to “profiling” towards meeting the needs of the regions where they are located</w:t>
      </w:r>
      <w:r w:rsidR="00811373" w:rsidRPr="003A59C0">
        <w:rPr>
          <w:rFonts w:ascii="Times New Roman" w:hAnsi="Times New Roman" w:cs="Times New Roman"/>
          <w:sz w:val="24"/>
          <w:szCs w:val="24"/>
          <w:lang w:val="en-US"/>
        </w:rPr>
        <w:t xml:space="preserve"> (Serbia</w:t>
      </w:r>
      <w:r w:rsidR="00E652E3" w:rsidRPr="003A59C0">
        <w:rPr>
          <w:rFonts w:ascii="Times New Roman" w:hAnsi="Times New Roman" w:cs="Times New Roman"/>
          <w:sz w:val="24"/>
          <w:szCs w:val="24"/>
          <w:lang w:val="en-US"/>
        </w:rPr>
        <w:t xml:space="preserve"> 2012</w:t>
      </w:r>
      <w:r w:rsidR="00811373" w:rsidRPr="003A59C0">
        <w:rPr>
          <w:rFonts w:ascii="Times New Roman" w:hAnsi="Times New Roman" w:cs="Times New Roman"/>
          <w:sz w:val="24"/>
          <w:szCs w:val="24"/>
          <w:lang w:val="en-US"/>
        </w:rPr>
        <w:t>,</w:t>
      </w:r>
      <w:r w:rsidR="00E652E3" w:rsidRPr="003A59C0">
        <w:rPr>
          <w:rFonts w:ascii="Times New Roman" w:hAnsi="Times New Roman" w:cs="Times New Roman"/>
          <w:sz w:val="24"/>
          <w:szCs w:val="24"/>
          <w:lang w:val="en-US"/>
        </w:rPr>
        <w:t xml:space="preserve"> 4).</w:t>
      </w:r>
      <w:r w:rsidR="001650B4" w:rsidRPr="003A59C0">
        <w:rPr>
          <w:rFonts w:ascii="Times New Roman" w:hAnsi="Times New Roman" w:cs="Times New Roman"/>
          <w:sz w:val="24"/>
          <w:szCs w:val="24"/>
          <w:lang w:val="en-US"/>
        </w:rPr>
        <w:t xml:space="preserve"> </w:t>
      </w:r>
      <w:r w:rsidR="008D0B78">
        <w:rPr>
          <w:rFonts w:ascii="Times New Roman" w:hAnsi="Times New Roman" w:cs="Times New Roman"/>
          <w:sz w:val="24"/>
          <w:szCs w:val="24"/>
          <w:lang w:val="en-US"/>
        </w:rPr>
        <w:t>In addition, t</w:t>
      </w:r>
      <w:r w:rsidR="000B779A" w:rsidRPr="003A59C0">
        <w:rPr>
          <w:rFonts w:ascii="Times New Roman" w:hAnsi="Times New Roman" w:cs="Times New Roman"/>
          <w:sz w:val="24"/>
          <w:szCs w:val="24"/>
          <w:lang w:val="en-US"/>
        </w:rPr>
        <w:t>he strategy also aims at developing competency indicators for domestic HE institutions</w:t>
      </w:r>
      <w:r w:rsidR="008D0B78">
        <w:rPr>
          <w:rFonts w:ascii="Times New Roman" w:hAnsi="Times New Roman" w:cs="Times New Roman"/>
          <w:sz w:val="24"/>
          <w:szCs w:val="24"/>
          <w:lang w:val="en-US"/>
        </w:rPr>
        <w:t xml:space="preserve"> and to</w:t>
      </w:r>
      <w:r w:rsidR="000B779A" w:rsidRPr="003A59C0">
        <w:rPr>
          <w:rFonts w:ascii="Times New Roman" w:hAnsi="Times New Roman" w:cs="Times New Roman"/>
          <w:sz w:val="24"/>
          <w:szCs w:val="24"/>
          <w:lang w:val="en-US"/>
        </w:rPr>
        <w:t xml:space="preserve"> boost a few universities to improve their standing in international university rankings</w:t>
      </w:r>
      <w:r w:rsidR="00C31800">
        <w:rPr>
          <w:rFonts w:ascii="Times New Roman" w:hAnsi="Times New Roman" w:cs="Times New Roman"/>
          <w:sz w:val="24"/>
          <w:szCs w:val="24"/>
          <w:lang w:val="en-US"/>
        </w:rPr>
        <w:t xml:space="preserve"> (Serbia 2012)</w:t>
      </w:r>
      <w:r w:rsidR="000B779A" w:rsidRPr="003A59C0">
        <w:rPr>
          <w:rFonts w:ascii="Times New Roman" w:hAnsi="Times New Roman" w:cs="Times New Roman"/>
          <w:sz w:val="24"/>
          <w:szCs w:val="24"/>
          <w:lang w:val="en-US"/>
        </w:rPr>
        <w:t xml:space="preserve">. </w:t>
      </w:r>
      <w:r w:rsidR="00497F81" w:rsidRPr="003A59C0">
        <w:rPr>
          <w:rFonts w:ascii="Times New Roman" w:hAnsi="Times New Roman" w:cs="Times New Roman"/>
          <w:sz w:val="24"/>
          <w:szCs w:val="24"/>
          <w:lang w:val="en-US"/>
        </w:rPr>
        <w:t>In Slovenia, t</w:t>
      </w:r>
      <w:r w:rsidR="00FE0F89" w:rsidRPr="003A59C0">
        <w:rPr>
          <w:rFonts w:ascii="Times New Roman" w:hAnsi="Times New Roman" w:cs="Times New Roman"/>
          <w:sz w:val="24"/>
          <w:szCs w:val="24"/>
          <w:lang w:val="en-US"/>
        </w:rPr>
        <w:t>he HE Programme of 2011 puts diversification as one of the four main policy priorities for the</w:t>
      </w:r>
      <w:r w:rsidR="00497F81" w:rsidRPr="003A59C0">
        <w:rPr>
          <w:rFonts w:ascii="Times New Roman" w:hAnsi="Times New Roman" w:cs="Times New Roman"/>
          <w:sz w:val="24"/>
          <w:szCs w:val="24"/>
          <w:lang w:val="en-US"/>
        </w:rPr>
        <w:t xml:space="preserve"> future reform of the system</w:t>
      </w:r>
      <w:r w:rsidR="00FE0F89" w:rsidRPr="003A59C0">
        <w:rPr>
          <w:rFonts w:ascii="Times New Roman" w:hAnsi="Times New Roman" w:cs="Times New Roman"/>
          <w:sz w:val="24"/>
          <w:szCs w:val="24"/>
          <w:lang w:val="en-US"/>
        </w:rPr>
        <w:t xml:space="preserve"> (Slovenia 2011). </w:t>
      </w:r>
      <w:r w:rsidR="00C31800">
        <w:rPr>
          <w:rFonts w:ascii="Times New Roman" w:hAnsi="Times New Roman" w:cs="Times New Roman"/>
          <w:sz w:val="24"/>
          <w:szCs w:val="24"/>
          <w:lang w:val="en-US"/>
        </w:rPr>
        <w:t>The idea is to remedy the situation</w:t>
      </w:r>
      <w:r w:rsidR="00811373" w:rsidRPr="003A59C0">
        <w:rPr>
          <w:rFonts w:ascii="Times New Roman" w:hAnsi="Times New Roman" w:cs="Times New Roman"/>
          <w:sz w:val="24"/>
          <w:szCs w:val="24"/>
        </w:rPr>
        <w:t xml:space="preserve"> ‘</w:t>
      </w:r>
      <w:r w:rsidR="00FE0F89" w:rsidRPr="003A59C0">
        <w:rPr>
          <w:rFonts w:ascii="Times New Roman" w:hAnsi="Times New Roman" w:cs="Times New Roman"/>
          <w:sz w:val="24"/>
          <w:szCs w:val="24"/>
        </w:rPr>
        <w:t xml:space="preserve">in which all </w:t>
      </w:r>
      <w:r w:rsidR="00647C52" w:rsidRPr="003A59C0">
        <w:rPr>
          <w:rFonts w:ascii="Times New Roman" w:hAnsi="Times New Roman" w:cs="Times New Roman"/>
          <w:sz w:val="24"/>
          <w:szCs w:val="24"/>
        </w:rPr>
        <w:t>HE</w:t>
      </w:r>
      <w:r w:rsidR="00FE0F89" w:rsidRPr="003A59C0">
        <w:rPr>
          <w:rFonts w:ascii="Times New Roman" w:hAnsi="Times New Roman" w:cs="Times New Roman"/>
          <w:sz w:val="24"/>
          <w:szCs w:val="24"/>
        </w:rPr>
        <w:t xml:space="preserve"> institutions attempt to be more or less equal and good in all areas and fulfil all goals or roles of </w:t>
      </w:r>
      <w:r w:rsidR="00647C52" w:rsidRPr="003A59C0">
        <w:rPr>
          <w:rFonts w:ascii="Times New Roman" w:hAnsi="Times New Roman" w:cs="Times New Roman"/>
          <w:sz w:val="24"/>
          <w:szCs w:val="24"/>
        </w:rPr>
        <w:t>HE</w:t>
      </w:r>
      <w:r w:rsidR="00E63A19">
        <w:rPr>
          <w:rFonts w:ascii="Times New Roman" w:hAnsi="Times New Roman" w:cs="Times New Roman"/>
          <w:sz w:val="24"/>
          <w:szCs w:val="24"/>
        </w:rPr>
        <w:t>’</w:t>
      </w:r>
      <w:r w:rsidR="00FE0F89" w:rsidRPr="003A59C0">
        <w:rPr>
          <w:rStyle w:val="tw4winMark"/>
          <w:rFonts w:ascii="Times New Roman" w:hAnsi="Times New Roman" w:cs="Times New Roman"/>
          <w:szCs w:val="24"/>
        </w:rPr>
        <w:t>&lt;0}</w:t>
      </w:r>
      <w:r w:rsidR="00FE0F89" w:rsidRPr="003A59C0">
        <w:rPr>
          <w:rFonts w:ascii="Times New Roman" w:hAnsi="Times New Roman" w:cs="Times New Roman"/>
          <w:sz w:val="24"/>
          <w:szCs w:val="24"/>
        </w:rPr>
        <w:t xml:space="preserve"> </w:t>
      </w:r>
      <w:r w:rsidR="00FE0F89" w:rsidRPr="003A59C0">
        <w:rPr>
          <w:rStyle w:val="tw4winMark"/>
          <w:rFonts w:ascii="Times New Roman" w:hAnsi="Times New Roman" w:cs="Times New Roman"/>
          <w:szCs w:val="24"/>
        </w:rPr>
        <w:t>{0&gt;</w:t>
      </w:r>
      <w:r w:rsidR="00FE0F89" w:rsidRPr="003A59C0">
        <w:rPr>
          <w:rFonts w:ascii="Times New Roman" w:hAnsi="Times New Roman" w:cs="Times New Roman"/>
          <w:noProof/>
          <w:vanish/>
          <w:sz w:val="24"/>
          <w:szCs w:val="24"/>
        </w:rPr>
        <w:t>Takšna kultura delovanja ne vodi k odličnosti in konkurenčnosti, temveč k povprečju, saj ne morejo biti vse institucije najboljše in to celo na vseh področjih.</w:t>
      </w:r>
      <w:r w:rsidR="00FE0F89" w:rsidRPr="003A59C0">
        <w:rPr>
          <w:rStyle w:val="tw4winMark"/>
          <w:rFonts w:ascii="Times New Roman" w:hAnsi="Times New Roman" w:cs="Times New Roman"/>
          <w:szCs w:val="24"/>
        </w:rPr>
        <w:t>&lt;}0{&gt;</w:t>
      </w:r>
      <w:r w:rsidR="00497F81" w:rsidRPr="003A59C0">
        <w:rPr>
          <w:rFonts w:ascii="Times New Roman" w:hAnsi="Times New Roman" w:cs="Times New Roman"/>
          <w:sz w:val="24"/>
          <w:szCs w:val="24"/>
        </w:rPr>
        <w:t>(Slovenia</w:t>
      </w:r>
      <w:r w:rsidR="004C26B7" w:rsidRPr="003A59C0">
        <w:rPr>
          <w:rFonts w:ascii="Times New Roman" w:hAnsi="Times New Roman" w:cs="Times New Roman"/>
          <w:sz w:val="24"/>
          <w:szCs w:val="24"/>
        </w:rPr>
        <w:t xml:space="preserve"> 2011</w:t>
      </w:r>
      <w:r w:rsidR="00497F81" w:rsidRPr="003A59C0">
        <w:rPr>
          <w:rFonts w:ascii="Times New Roman" w:hAnsi="Times New Roman" w:cs="Times New Roman"/>
          <w:sz w:val="24"/>
          <w:szCs w:val="24"/>
        </w:rPr>
        <w:t>,</w:t>
      </w:r>
      <w:r w:rsidR="004C26B7" w:rsidRPr="003A59C0">
        <w:rPr>
          <w:rFonts w:ascii="Times New Roman" w:hAnsi="Times New Roman" w:cs="Times New Roman"/>
          <w:sz w:val="24"/>
          <w:szCs w:val="24"/>
        </w:rPr>
        <w:t xml:space="preserve"> </w:t>
      </w:r>
      <w:r w:rsidR="00FE0F89" w:rsidRPr="003A59C0">
        <w:rPr>
          <w:rFonts w:ascii="Times New Roman" w:hAnsi="Times New Roman" w:cs="Times New Roman"/>
          <w:sz w:val="24"/>
          <w:szCs w:val="24"/>
        </w:rPr>
        <w:t>24). One of the measures suggested has been redefinition of the binary system by clear separation of professional and university study from the point of view of the content, implementation and organisation</w:t>
      </w:r>
      <w:r w:rsidR="008A4E3C" w:rsidRPr="003A59C0">
        <w:rPr>
          <w:rFonts w:ascii="Times New Roman" w:hAnsi="Times New Roman" w:cs="Times New Roman"/>
          <w:sz w:val="24"/>
          <w:szCs w:val="24"/>
        </w:rPr>
        <w:t xml:space="preserve">: ‘universities would no longer include professional colleges and would not perform professional study programmes’ (Slovenia 2011, 9-10). </w:t>
      </w:r>
    </w:p>
    <w:p w:rsidR="00E63A19" w:rsidRDefault="00497F81" w:rsidP="00497F81">
      <w:pPr>
        <w:jc w:val="both"/>
        <w:rPr>
          <w:rFonts w:ascii="Times New Roman" w:hAnsi="Times New Roman" w:cs="Times New Roman"/>
          <w:sz w:val="24"/>
          <w:szCs w:val="24"/>
        </w:rPr>
      </w:pPr>
      <w:r w:rsidRPr="003A59C0">
        <w:rPr>
          <w:rFonts w:ascii="Times New Roman" w:hAnsi="Times New Roman" w:cs="Times New Roman"/>
          <w:sz w:val="24"/>
          <w:szCs w:val="24"/>
        </w:rPr>
        <w:t>The more advanced level of institutional diversification, institutional profiling as advocated in European documents, features unequivocally only in policy documents of Slovenia and Croatia, and only in most recent documents. In Slovenian strategy of 2011, the policy goal is to enable HE institutions to profile – in terms of organisation, programme and operation: ‘HE institutions will select their own profiles based on their fundamental mission, type and level of educational offer and achievement of excellence in selected areas’ (Slovenia 2011, 31). In Croatian policy documents there are also indications of the intention towards institutional profiling: not in the stipulations regarding institutional development, but in th</w:t>
      </w:r>
      <w:r w:rsidR="00E63A19">
        <w:rPr>
          <w:rFonts w:ascii="Times New Roman" w:hAnsi="Times New Roman" w:cs="Times New Roman"/>
          <w:sz w:val="24"/>
          <w:szCs w:val="24"/>
        </w:rPr>
        <w:t>e proposed funding arrangements (see below). In Serbian and Albania discourse institutional profiling as such does not come forward. There is, however, ample mentioning of striving for research excellence. Albanian Strategy suggests merging the independent academies with universities to strengthen the research universities. Serbian strategy expresses intentions of investing into few research universities to climb the ranks of international universities rankings.</w:t>
      </w:r>
    </w:p>
    <w:p w:rsidR="002246BC" w:rsidRPr="003A59C0" w:rsidRDefault="00E63A19" w:rsidP="00694B33">
      <w:pPr>
        <w:jc w:val="both"/>
        <w:rPr>
          <w:rFonts w:ascii="Times New Roman" w:hAnsi="Times New Roman" w:cs="Times New Roman"/>
          <w:sz w:val="24"/>
          <w:szCs w:val="24"/>
        </w:rPr>
      </w:pPr>
      <w:r>
        <w:rPr>
          <w:rFonts w:ascii="Times New Roman" w:hAnsi="Times New Roman" w:cs="Times New Roman"/>
          <w:sz w:val="24"/>
          <w:szCs w:val="24"/>
        </w:rPr>
        <w:t>While research excellence is a common denominator of all most recent policy documents, another rather prevalent feature is strengthening of professional and vocational educ</w:t>
      </w:r>
      <w:r w:rsidR="00887EBF">
        <w:rPr>
          <w:rFonts w:ascii="Times New Roman" w:hAnsi="Times New Roman" w:cs="Times New Roman"/>
          <w:sz w:val="24"/>
          <w:szCs w:val="24"/>
        </w:rPr>
        <w:t xml:space="preserve">ation in regional centres. This objective does echo some of the early Commission’s recommendation, but it is also clearly strongly domestically driven. Regional development is high on the political agenda in all countries and it is one of the persistently salient political issues. </w:t>
      </w:r>
      <w:r w:rsidR="00997B7A" w:rsidRPr="003A59C0">
        <w:rPr>
          <w:rFonts w:ascii="Times New Roman" w:hAnsi="Times New Roman" w:cs="Times New Roman"/>
          <w:sz w:val="24"/>
          <w:szCs w:val="24"/>
        </w:rPr>
        <w:t xml:space="preserve">Croatian and Albanian documents </w:t>
      </w:r>
      <w:r w:rsidR="00887EBF">
        <w:rPr>
          <w:rFonts w:ascii="Times New Roman" w:hAnsi="Times New Roman" w:cs="Times New Roman"/>
          <w:sz w:val="24"/>
          <w:szCs w:val="24"/>
        </w:rPr>
        <w:t xml:space="preserve">are especially elaborate in promoting </w:t>
      </w:r>
      <w:r w:rsidR="00997B7A" w:rsidRPr="003A59C0">
        <w:rPr>
          <w:rFonts w:ascii="Times New Roman" w:hAnsi="Times New Roman" w:cs="Times New Roman"/>
          <w:sz w:val="24"/>
          <w:szCs w:val="24"/>
        </w:rPr>
        <w:t xml:space="preserve">polycentric development of </w:t>
      </w:r>
      <w:r w:rsidR="00647C52" w:rsidRPr="003A59C0">
        <w:rPr>
          <w:rFonts w:ascii="Times New Roman" w:hAnsi="Times New Roman" w:cs="Times New Roman"/>
          <w:sz w:val="24"/>
          <w:szCs w:val="24"/>
        </w:rPr>
        <w:t>HE</w:t>
      </w:r>
      <w:r w:rsidR="00887EBF">
        <w:rPr>
          <w:rFonts w:ascii="Times New Roman" w:hAnsi="Times New Roman" w:cs="Times New Roman"/>
          <w:sz w:val="24"/>
          <w:szCs w:val="24"/>
        </w:rPr>
        <w:t>.</w:t>
      </w:r>
      <w:r w:rsidR="00997B7A" w:rsidRPr="003A59C0">
        <w:rPr>
          <w:rFonts w:ascii="Times New Roman" w:hAnsi="Times New Roman" w:cs="Times New Roman"/>
          <w:sz w:val="24"/>
          <w:szCs w:val="24"/>
        </w:rPr>
        <w:t xml:space="preserve"> The idea is </w:t>
      </w:r>
      <w:r w:rsidR="00887EBF">
        <w:rPr>
          <w:rFonts w:ascii="Times New Roman" w:hAnsi="Times New Roman" w:cs="Times New Roman"/>
          <w:sz w:val="24"/>
          <w:szCs w:val="24"/>
        </w:rPr>
        <w:t>to establish public and/or private</w:t>
      </w:r>
      <w:r w:rsidR="00997B7A" w:rsidRPr="003A59C0">
        <w:rPr>
          <w:rFonts w:ascii="Times New Roman" w:hAnsi="Times New Roman" w:cs="Times New Roman"/>
          <w:sz w:val="24"/>
          <w:szCs w:val="24"/>
        </w:rPr>
        <w:t xml:space="preserve"> institutions</w:t>
      </w:r>
      <w:r w:rsidR="00887EBF">
        <w:rPr>
          <w:rFonts w:ascii="Times New Roman" w:hAnsi="Times New Roman" w:cs="Times New Roman"/>
          <w:sz w:val="24"/>
          <w:szCs w:val="24"/>
        </w:rPr>
        <w:t xml:space="preserve"> in regional centres, which</w:t>
      </w:r>
      <w:r w:rsidR="00997B7A" w:rsidRPr="003A59C0">
        <w:rPr>
          <w:rFonts w:ascii="Times New Roman" w:hAnsi="Times New Roman" w:cs="Times New Roman"/>
          <w:sz w:val="24"/>
          <w:szCs w:val="24"/>
        </w:rPr>
        <w:t xml:space="preserve"> would </w:t>
      </w:r>
      <w:r w:rsidR="00807B7D" w:rsidRPr="003A59C0">
        <w:rPr>
          <w:rFonts w:ascii="Times New Roman" w:hAnsi="Times New Roman" w:cs="Times New Roman"/>
          <w:sz w:val="24"/>
          <w:szCs w:val="24"/>
        </w:rPr>
        <w:t>have</w:t>
      </w:r>
      <w:r w:rsidR="00997B7A" w:rsidRPr="003A59C0">
        <w:rPr>
          <w:rFonts w:ascii="Times New Roman" w:hAnsi="Times New Roman" w:cs="Times New Roman"/>
          <w:sz w:val="24"/>
          <w:szCs w:val="24"/>
        </w:rPr>
        <w:t xml:space="preserve"> primarily vocational teaching profile, and possibly offer applied research and development to the needs of the local communities</w:t>
      </w:r>
      <w:r w:rsidR="00807B7D" w:rsidRPr="003A59C0">
        <w:rPr>
          <w:rFonts w:ascii="Times New Roman" w:hAnsi="Times New Roman" w:cs="Times New Roman"/>
          <w:sz w:val="24"/>
          <w:szCs w:val="24"/>
        </w:rPr>
        <w:t xml:space="preserve"> (Albania 2012: 53)</w:t>
      </w:r>
      <w:r w:rsidR="00997B7A" w:rsidRPr="003A59C0">
        <w:rPr>
          <w:rFonts w:ascii="Times New Roman" w:hAnsi="Times New Roman" w:cs="Times New Roman"/>
          <w:sz w:val="24"/>
          <w:szCs w:val="24"/>
        </w:rPr>
        <w:t xml:space="preserve">. </w:t>
      </w:r>
    </w:p>
    <w:p w:rsidR="00497F81" w:rsidRPr="003A59C0" w:rsidRDefault="003674AE" w:rsidP="00C11FB4">
      <w:pPr>
        <w:jc w:val="both"/>
        <w:rPr>
          <w:rFonts w:ascii="Times New Roman" w:hAnsi="Times New Roman" w:cs="Times New Roman"/>
          <w:sz w:val="24"/>
          <w:szCs w:val="24"/>
        </w:rPr>
      </w:pPr>
      <w:r w:rsidRPr="003A59C0">
        <w:rPr>
          <w:rFonts w:ascii="Times New Roman" w:hAnsi="Times New Roman" w:cs="Times New Roman"/>
          <w:sz w:val="24"/>
          <w:szCs w:val="24"/>
        </w:rPr>
        <w:t xml:space="preserve">Another prevalent feature in policy documents (and discourse) in the four countries is concerning private HE providers. All countries have undertaken legislative changes providing for emergence </w:t>
      </w:r>
      <w:r w:rsidR="004E0741" w:rsidRPr="003A59C0">
        <w:rPr>
          <w:rFonts w:ascii="Times New Roman" w:hAnsi="Times New Roman" w:cs="Times New Roman"/>
          <w:sz w:val="24"/>
          <w:szCs w:val="24"/>
        </w:rPr>
        <w:t xml:space="preserve">(and expansion) </w:t>
      </w:r>
      <w:r w:rsidRPr="003A59C0">
        <w:rPr>
          <w:rFonts w:ascii="Times New Roman" w:hAnsi="Times New Roman" w:cs="Times New Roman"/>
          <w:sz w:val="24"/>
          <w:szCs w:val="24"/>
        </w:rPr>
        <w:t xml:space="preserve">of private HE. </w:t>
      </w:r>
      <w:r w:rsidR="00497F81" w:rsidRPr="003A59C0">
        <w:rPr>
          <w:rFonts w:ascii="Times New Roman" w:hAnsi="Times New Roman" w:cs="Times New Roman"/>
          <w:sz w:val="24"/>
          <w:szCs w:val="24"/>
          <w:lang w:val="en-US"/>
        </w:rPr>
        <w:t xml:space="preserve">In the countries where private higher education institutions were present, the legislation enabled equal legal treatment of private and public </w:t>
      </w:r>
      <w:r w:rsidRPr="003A59C0">
        <w:rPr>
          <w:rFonts w:ascii="Times New Roman" w:hAnsi="Times New Roman" w:cs="Times New Roman"/>
          <w:sz w:val="24"/>
          <w:szCs w:val="24"/>
          <w:lang w:val="en-US"/>
        </w:rPr>
        <w:t xml:space="preserve">HE </w:t>
      </w:r>
      <w:r w:rsidR="00497F81" w:rsidRPr="003A59C0">
        <w:rPr>
          <w:rFonts w:ascii="Times New Roman" w:hAnsi="Times New Roman" w:cs="Times New Roman"/>
          <w:sz w:val="24"/>
          <w:szCs w:val="24"/>
          <w:lang w:val="en-US"/>
        </w:rPr>
        <w:t>institutions in terms of regulation and rec</w:t>
      </w:r>
      <w:r w:rsidRPr="003A59C0">
        <w:rPr>
          <w:rFonts w:ascii="Times New Roman" w:hAnsi="Times New Roman" w:cs="Times New Roman"/>
          <w:sz w:val="24"/>
          <w:szCs w:val="24"/>
          <w:lang w:val="en-US"/>
        </w:rPr>
        <w:t xml:space="preserve">ognition of degrees (Vukasović </w:t>
      </w:r>
      <w:r w:rsidR="00497F81" w:rsidRPr="003A59C0">
        <w:rPr>
          <w:rFonts w:ascii="Times New Roman" w:hAnsi="Times New Roman" w:cs="Times New Roman"/>
          <w:sz w:val="24"/>
          <w:szCs w:val="24"/>
          <w:lang w:val="en-US"/>
        </w:rPr>
        <w:t>2009</w:t>
      </w:r>
      <w:r w:rsidRPr="003A59C0">
        <w:rPr>
          <w:rFonts w:ascii="Times New Roman" w:hAnsi="Times New Roman" w:cs="Times New Roman"/>
          <w:sz w:val="24"/>
          <w:szCs w:val="24"/>
          <w:lang w:val="en-US"/>
        </w:rPr>
        <w:t>,</w:t>
      </w:r>
      <w:r w:rsidR="00497F81" w:rsidRPr="003A59C0">
        <w:rPr>
          <w:rFonts w:ascii="Times New Roman" w:hAnsi="Times New Roman" w:cs="Times New Roman"/>
          <w:sz w:val="24"/>
          <w:szCs w:val="24"/>
          <w:lang w:val="en-US"/>
        </w:rPr>
        <w:t xml:space="preserve"> 72).</w:t>
      </w:r>
      <w:r w:rsidRPr="003A59C0">
        <w:rPr>
          <w:rFonts w:ascii="Times New Roman" w:hAnsi="Times New Roman" w:cs="Times New Roman"/>
          <w:sz w:val="24"/>
          <w:szCs w:val="24"/>
          <w:lang w:val="en-US"/>
        </w:rPr>
        <w:t xml:space="preserve"> </w:t>
      </w:r>
      <w:r w:rsidR="006A6594" w:rsidRPr="003A59C0">
        <w:rPr>
          <w:rFonts w:ascii="Times New Roman" w:hAnsi="Times New Roman" w:cs="Times New Roman"/>
          <w:sz w:val="24"/>
          <w:szCs w:val="24"/>
          <w:lang w:val="en-US"/>
        </w:rPr>
        <w:t xml:space="preserve">In Albania, private HE plays such a prominent role in the national HE strategy that a Department of Private Education Development was created </w:t>
      </w:r>
      <w:r w:rsidR="00887EBF">
        <w:rPr>
          <w:rFonts w:ascii="Times New Roman" w:hAnsi="Times New Roman" w:cs="Times New Roman"/>
          <w:sz w:val="24"/>
          <w:szCs w:val="24"/>
          <w:lang w:val="en-US"/>
        </w:rPr>
        <w:t xml:space="preserve">with </w:t>
      </w:r>
      <w:r w:rsidR="006A6594" w:rsidRPr="003A59C0">
        <w:rPr>
          <w:rFonts w:ascii="Times New Roman" w:hAnsi="Times New Roman" w:cs="Times New Roman"/>
          <w:sz w:val="24"/>
          <w:szCs w:val="24"/>
          <w:lang w:val="en-US"/>
        </w:rPr>
        <w:t xml:space="preserve">the aim of encouraging the development of private education. The government website states that private education is considered ‘an important alternative in the provision of public services in the field of education, which improves the conditions under which the market operates, enhances competitiveness and encourages educational service quality’. In all countries except Slovenia there is a clear distinction between private and public in terms of their financing. </w:t>
      </w:r>
      <w:r w:rsidR="004E0741" w:rsidRPr="003A59C0">
        <w:rPr>
          <w:rFonts w:ascii="Times New Roman" w:hAnsi="Times New Roman" w:cs="Times New Roman"/>
          <w:sz w:val="24"/>
          <w:szCs w:val="24"/>
          <w:lang w:val="en-US"/>
        </w:rPr>
        <w:t>In Slovenia,</w:t>
      </w:r>
      <w:r w:rsidR="006A6594" w:rsidRPr="003A59C0">
        <w:rPr>
          <w:rFonts w:ascii="Times New Roman" w:hAnsi="Times New Roman" w:cs="Times New Roman"/>
          <w:sz w:val="24"/>
          <w:szCs w:val="24"/>
          <w:lang w:val="en-US"/>
        </w:rPr>
        <w:t xml:space="preserve"> however, </w:t>
      </w:r>
      <w:r w:rsidR="004E0741" w:rsidRPr="003A59C0">
        <w:rPr>
          <w:rFonts w:ascii="Times New Roman" w:hAnsi="Times New Roman" w:cs="Times New Roman"/>
          <w:sz w:val="24"/>
          <w:szCs w:val="24"/>
          <w:lang w:val="en-US"/>
        </w:rPr>
        <w:t>most private institutions qualify as government-dependent</w:t>
      </w:r>
      <w:r w:rsidR="006A6594" w:rsidRPr="003A59C0">
        <w:rPr>
          <w:rFonts w:ascii="Times New Roman" w:hAnsi="Times New Roman" w:cs="Times New Roman"/>
          <w:sz w:val="24"/>
          <w:szCs w:val="24"/>
          <w:lang w:val="en-US"/>
        </w:rPr>
        <w:t xml:space="preserve"> (Klemenčič 2012)</w:t>
      </w:r>
      <w:r w:rsidR="00887EBF">
        <w:rPr>
          <w:rFonts w:ascii="Times New Roman" w:hAnsi="Times New Roman" w:cs="Times New Roman"/>
          <w:sz w:val="24"/>
          <w:szCs w:val="24"/>
          <w:lang w:val="en-US"/>
        </w:rPr>
        <w:t>; t</w:t>
      </w:r>
      <w:r w:rsidR="006A6594" w:rsidRPr="003A59C0">
        <w:rPr>
          <w:rFonts w:ascii="Times New Roman" w:hAnsi="Times New Roman" w:cs="Times New Roman"/>
          <w:sz w:val="24"/>
          <w:szCs w:val="24"/>
          <w:lang w:val="en-US"/>
        </w:rPr>
        <w:t xml:space="preserve">hey </w:t>
      </w:r>
      <w:r w:rsidR="004E0741" w:rsidRPr="003A59C0">
        <w:rPr>
          <w:rFonts w:ascii="Times New Roman" w:hAnsi="Times New Roman" w:cs="Times New Roman"/>
          <w:sz w:val="24"/>
          <w:szCs w:val="24"/>
          <w:lang w:val="en-US"/>
        </w:rPr>
        <w:t xml:space="preserve">have private governance, but private sector </w:t>
      </w:r>
      <w:r w:rsidR="006A6594" w:rsidRPr="003A59C0">
        <w:rPr>
          <w:rFonts w:ascii="Times New Roman" w:hAnsi="Times New Roman" w:cs="Times New Roman"/>
          <w:sz w:val="24"/>
          <w:szCs w:val="24"/>
          <w:lang w:val="en-US"/>
        </w:rPr>
        <w:t>dominates</w:t>
      </w:r>
      <w:r w:rsidR="004E0741" w:rsidRPr="003A59C0">
        <w:rPr>
          <w:rFonts w:ascii="Times New Roman" w:hAnsi="Times New Roman" w:cs="Times New Roman"/>
          <w:sz w:val="24"/>
          <w:szCs w:val="24"/>
          <w:lang w:val="en-US"/>
        </w:rPr>
        <w:t xml:space="preserve"> in the contribution t</w:t>
      </w:r>
      <w:r w:rsidR="006A6594" w:rsidRPr="003A59C0">
        <w:rPr>
          <w:rFonts w:ascii="Times New Roman" w:hAnsi="Times New Roman" w:cs="Times New Roman"/>
          <w:sz w:val="24"/>
          <w:szCs w:val="24"/>
          <w:lang w:val="en-US"/>
        </w:rPr>
        <w:t>o their budget (Teixteira et al.</w:t>
      </w:r>
      <w:r w:rsidR="004E0741" w:rsidRPr="003A59C0">
        <w:rPr>
          <w:rFonts w:ascii="Times New Roman" w:hAnsi="Times New Roman" w:cs="Times New Roman"/>
          <w:sz w:val="24"/>
          <w:szCs w:val="24"/>
          <w:lang w:val="en-US"/>
        </w:rPr>
        <w:t xml:space="preserve"> 2012).  </w:t>
      </w:r>
      <w:r w:rsidR="00887EBF">
        <w:rPr>
          <w:rFonts w:ascii="Times New Roman" w:hAnsi="Times New Roman" w:cs="Times New Roman"/>
          <w:sz w:val="24"/>
          <w:szCs w:val="24"/>
          <w:lang w:val="en-US"/>
        </w:rPr>
        <w:t xml:space="preserve">Even though private HE covers a relatively small share of student population (i.e. less than 20%), the differentiation between features prominently in the public and political discourse in all countries (for details see Klemenčič 2012). </w:t>
      </w:r>
    </w:p>
    <w:p w:rsidR="00694B33" w:rsidRPr="003A59C0" w:rsidRDefault="00887EBF" w:rsidP="00694B33">
      <w:pPr>
        <w:jc w:val="both"/>
        <w:rPr>
          <w:rFonts w:ascii="Times New Roman" w:hAnsi="Times New Roman" w:cs="Times New Roman"/>
          <w:sz w:val="24"/>
          <w:szCs w:val="24"/>
          <w:lang w:val="en-US"/>
        </w:rPr>
      </w:pPr>
      <w:r>
        <w:rPr>
          <w:rFonts w:ascii="Times New Roman" w:hAnsi="Times New Roman" w:cs="Times New Roman"/>
          <w:sz w:val="24"/>
          <w:szCs w:val="24"/>
        </w:rPr>
        <w:t>Next</w:t>
      </w:r>
      <w:r w:rsidR="00811373" w:rsidRPr="003A59C0">
        <w:rPr>
          <w:rFonts w:ascii="Times New Roman" w:hAnsi="Times New Roman" w:cs="Times New Roman"/>
          <w:sz w:val="24"/>
          <w:szCs w:val="24"/>
        </w:rPr>
        <w:t xml:space="preserve">, </w:t>
      </w:r>
      <w:r w:rsidR="00944772" w:rsidRPr="003A59C0">
        <w:rPr>
          <w:rFonts w:ascii="Times New Roman" w:hAnsi="Times New Roman" w:cs="Times New Roman"/>
          <w:sz w:val="24"/>
          <w:szCs w:val="24"/>
          <w:lang w:val="en-US"/>
        </w:rPr>
        <w:t xml:space="preserve">there is a quite a diversity between the four countries in terms of instruments to promote diversification. Funding mechanisms of Slovenia and Croatia are most closely aligned with European recommendations. They include </w:t>
      </w:r>
      <w:r w:rsidR="00811373" w:rsidRPr="003A59C0">
        <w:rPr>
          <w:rFonts w:ascii="Times New Roman" w:hAnsi="Times New Roman" w:cs="Times New Roman"/>
          <w:sz w:val="24"/>
          <w:szCs w:val="24"/>
          <w:lang w:val="en-US"/>
        </w:rPr>
        <w:t>performance (</w:t>
      </w:r>
      <w:r w:rsidR="00694B33" w:rsidRPr="003A59C0">
        <w:rPr>
          <w:rFonts w:ascii="Times New Roman" w:hAnsi="Times New Roman" w:cs="Times New Roman"/>
          <w:sz w:val="24"/>
          <w:szCs w:val="24"/>
          <w:lang w:val="en-US"/>
        </w:rPr>
        <w:t xml:space="preserve">output) based funding with explicit diversification objective. </w:t>
      </w:r>
      <w:r w:rsidR="008A4E3C" w:rsidRPr="003A59C0">
        <w:rPr>
          <w:rFonts w:ascii="Times New Roman" w:hAnsi="Times New Roman" w:cs="Times New Roman"/>
          <w:sz w:val="24"/>
          <w:szCs w:val="24"/>
          <w:lang w:val="en-US"/>
        </w:rPr>
        <w:t>Concretely in the Slovenian case, the novelty is in rewarding performance on the basis of the agreed strategic goals and institutional profiles. A revised system of funding would allow the institutions to negotiate with the government for substantial additional funding for diversification. On top of the basic lump-sum, the institutions ought to be able to apply for funding for development and competitiveness, foreseen to amount to 20% of the basic funding</w:t>
      </w:r>
      <w:r w:rsidR="001763F3" w:rsidRPr="003A59C0">
        <w:rPr>
          <w:rFonts w:ascii="Times New Roman" w:hAnsi="Times New Roman" w:cs="Times New Roman"/>
          <w:sz w:val="24"/>
          <w:szCs w:val="24"/>
          <w:lang w:val="en-US"/>
        </w:rPr>
        <w:t xml:space="preserve"> (Slovenia 2011)</w:t>
      </w:r>
      <w:r w:rsidR="008A4E3C" w:rsidRPr="003A59C0">
        <w:rPr>
          <w:rFonts w:ascii="Times New Roman" w:hAnsi="Times New Roman" w:cs="Times New Roman"/>
          <w:sz w:val="24"/>
          <w:szCs w:val="24"/>
          <w:lang w:val="en-US"/>
        </w:rPr>
        <w:t xml:space="preserve">. </w:t>
      </w:r>
      <w:r w:rsidR="001763F3" w:rsidRPr="003A59C0">
        <w:rPr>
          <w:rFonts w:ascii="Times New Roman" w:hAnsi="Times New Roman" w:cs="Times New Roman"/>
          <w:sz w:val="24"/>
          <w:szCs w:val="24"/>
          <w:lang w:val="en-US"/>
        </w:rPr>
        <w:t xml:space="preserve">Similarly, the Croatian proposed funding arrangements stipulates financing of HE institutions and research institutes through “program contracts” [programskih ugovora]. These are based on a three-year institutional strategic framework, which would be developed through negotiations between the Ministry and the institutions (Croatia 2011; Croatia 2012, 8). </w:t>
      </w:r>
      <w:r w:rsidR="00694B33" w:rsidRPr="003A59C0">
        <w:rPr>
          <w:rFonts w:ascii="Times New Roman" w:hAnsi="Times New Roman" w:cs="Times New Roman"/>
          <w:sz w:val="24"/>
          <w:szCs w:val="24"/>
          <w:lang w:val="en-US"/>
        </w:rPr>
        <w:t>It is unclear yet, what the extent of the flexible development funding part will be and how exactly these part will be negotiated, but the intention to reform the previous model is certainly present. Serbian and Albanian policy documents display a continuity of a uniform funding regime in which – broadly speaking - the amount of funding is defined by taking into account the number of enrolled students. This money is typically allocated to universities and HE institutions as a lump sum for the provision of basic - educational - activities. Typically, there are funds made available separately for development tasks and activities, for which institutions apply on competitive basis. These include resources for infrastructure and equipment, but also for development, such as quality assurance, internationalisation or implementation of the Bologna recommendations (Vukasović 2009). In absence a coherent funding policy with clear diversification objective, these funds cannot lead to major reforms towards institutional profiling</w:t>
      </w:r>
      <w:r w:rsidR="00A14479" w:rsidRPr="003A59C0">
        <w:rPr>
          <w:rFonts w:ascii="Times New Roman" w:hAnsi="Times New Roman" w:cs="Times New Roman"/>
          <w:sz w:val="24"/>
          <w:szCs w:val="24"/>
          <w:lang w:val="en-US"/>
        </w:rPr>
        <w:t xml:space="preserve">. </w:t>
      </w:r>
    </w:p>
    <w:p w:rsidR="00694B33" w:rsidRPr="003A59C0" w:rsidRDefault="00AA7E40" w:rsidP="00694B33">
      <w:pPr>
        <w:jc w:val="both"/>
        <w:rPr>
          <w:rFonts w:ascii="Times New Roman" w:hAnsi="Times New Roman" w:cs="Times New Roman"/>
          <w:sz w:val="24"/>
          <w:szCs w:val="24"/>
          <w:lang w:val="en-US"/>
        </w:rPr>
      </w:pPr>
      <w:r>
        <w:rPr>
          <w:rFonts w:ascii="Times New Roman" w:hAnsi="Times New Roman" w:cs="Times New Roman"/>
          <w:sz w:val="24"/>
          <w:szCs w:val="24"/>
        </w:rPr>
        <w:t>Furthermore, i</w:t>
      </w:r>
      <w:r w:rsidR="00A14479" w:rsidRPr="003A59C0">
        <w:rPr>
          <w:rFonts w:ascii="Times New Roman" w:hAnsi="Times New Roman" w:cs="Times New Roman"/>
          <w:sz w:val="24"/>
          <w:szCs w:val="24"/>
        </w:rPr>
        <w:t xml:space="preserve">n European recommendations, accreditation and quality assurance are stated as important mechanisms promoting institutional </w:t>
      </w:r>
      <w:r w:rsidR="000F4268" w:rsidRPr="003A59C0">
        <w:rPr>
          <w:rFonts w:ascii="Times New Roman" w:hAnsi="Times New Roman" w:cs="Times New Roman"/>
          <w:sz w:val="24"/>
          <w:szCs w:val="24"/>
        </w:rPr>
        <w:t xml:space="preserve">profiling. In this area, all </w:t>
      </w:r>
      <w:r w:rsidR="00694B33" w:rsidRPr="003A59C0">
        <w:rPr>
          <w:rFonts w:ascii="Times New Roman" w:hAnsi="Times New Roman" w:cs="Times New Roman"/>
          <w:sz w:val="24"/>
          <w:szCs w:val="24"/>
          <w:lang w:val="en-US"/>
        </w:rPr>
        <w:t xml:space="preserve">countries </w:t>
      </w:r>
      <w:r w:rsidR="000F4268" w:rsidRPr="003A59C0">
        <w:rPr>
          <w:rFonts w:ascii="Times New Roman" w:hAnsi="Times New Roman" w:cs="Times New Roman"/>
          <w:sz w:val="24"/>
          <w:szCs w:val="24"/>
          <w:lang w:val="en-US"/>
        </w:rPr>
        <w:t xml:space="preserve">have followed Bologna recommendations and </w:t>
      </w:r>
      <w:r w:rsidR="00AC4874" w:rsidRPr="003A59C0">
        <w:rPr>
          <w:rFonts w:ascii="Times New Roman" w:hAnsi="Times New Roman" w:cs="Times New Roman"/>
          <w:sz w:val="24"/>
          <w:szCs w:val="24"/>
          <w:lang w:val="en-US"/>
        </w:rPr>
        <w:t>are trying</w:t>
      </w:r>
      <w:r w:rsidR="000F4268" w:rsidRPr="003A59C0">
        <w:rPr>
          <w:rFonts w:ascii="Times New Roman" w:hAnsi="Times New Roman" w:cs="Times New Roman"/>
          <w:sz w:val="24"/>
          <w:szCs w:val="24"/>
          <w:lang w:val="en-US"/>
        </w:rPr>
        <w:t xml:space="preserve"> to</w:t>
      </w:r>
      <w:r w:rsidR="00694B33" w:rsidRPr="003A59C0">
        <w:rPr>
          <w:rFonts w:ascii="Times New Roman" w:hAnsi="Times New Roman" w:cs="Times New Roman"/>
          <w:sz w:val="24"/>
          <w:szCs w:val="24"/>
          <w:lang w:val="en-US"/>
        </w:rPr>
        <w:t xml:space="preserve"> align their standards to The European Standards and Guidelines for Quality Assurance. </w:t>
      </w:r>
      <w:r w:rsidR="00AC4874" w:rsidRPr="003A59C0">
        <w:rPr>
          <w:rFonts w:ascii="Times New Roman" w:hAnsi="Times New Roman" w:cs="Times New Roman"/>
          <w:sz w:val="24"/>
          <w:szCs w:val="24"/>
          <w:lang w:val="en-US"/>
        </w:rPr>
        <w:t>In fact, much of the EU funding through Tempus Programme has been directed precisely to reach this objective</w:t>
      </w:r>
      <w:r>
        <w:rPr>
          <w:rFonts w:ascii="Times New Roman" w:hAnsi="Times New Roman" w:cs="Times New Roman"/>
          <w:sz w:val="24"/>
          <w:szCs w:val="24"/>
          <w:lang w:val="en-US"/>
        </w:rPr>
        <w:t xml:space="preserve"> (Zgaga 2008)</w:t>
      </w:r>
      <w:r w:rsidR="00AC4874" w:rsidRPr="003A59C0">
        <w:rPr>
          <w:rFonts w:ascii="Times New Roman" w:hAnsi="Times New Roman" w:cs="Times New Roman"/>
          <w:sz w:val="24"/>
          <w:szCs w:val="24"/>
          <w:lang w:val="en-US"/>
        </w:rPr>
        <w:t xml:space="preserve">. The starting point in basically all countries was initial absence of an independent </w:t>
      </w:r>
      <w:r w:rsidR="004867B4" w:rsidRPr="003A59C0">
        <w:rPr>
          <w:rFonts w:ascii="Times New Roman" w:hAnsi="Times New Roman" w:cs="Times New Roman"/>
          <w:sz w:val="24"/>
          <w:szCs w:val="24"/>
          <w:lang w:val="en-US"/>
        </w:rPr>
        <w:t xml:space="preserve">quality assurance body. In 2012, only Croatian </w:t>
      </w:r>
      <w:r w:rsidR="001763F3" w:rsidRPr="003A59C0">
        <w:rPr>
          <w:rFonts w:ascii="Times New Roman" w:hAnsi="Times New Roman" w:cs="Times New Roman"/>
          <w:sz w:val="24"/>
          <w:szCs w:val="24"/>
          <w:lang w:val="en-US"/>
        </w:rPr>
        <w:t>Quality Assurance Agency [QAA]</w:t>
      </w:r>
      <w:r w:rsidR="004867B4" w:rsidRPr="003A59C0">
        <w:rPr>
          <w:rFonts w:ascii="Times New Roman" w:hAnsi="Times New Roman" w:cs="Times New Roman"/>
          <w:sz w:val="24"/>
          <w:szCs w:val="24"/>
          <w:lang w:val="en-US"/>
        </w:rPr>
        <w:t xml:space="preserve"> is included in European QA Register for HE [EQAR). </w:t>
      </w:r>
      <w:r w:rsidR="00D400CB" w:rsidRPr="003A59C0">
        <w:rPr>
          <w:rFonts w:ascii="Times New Roman" w:hAnsi="Times New Roman" w:cs="Times New Roman"/>
          <w:sz w:val="24"/>
          <w:szCs w:val="24"/>
          <w:lang w:val="en-US"/>
        </w:rPr>
        <w:t>Slovenia and Albania have</w:t>
      </w:r>
      <w:r w:rsidR="004867B4" w:rsidRPr="003A59C0">
        <w:rPr>
          <w:rFonts w:ascii="Times New Roman" w:hAnsi="Times New Roman" w:cs="Times New Roman"/>
          <w:sz w:val="24"/>
          <w:szCs w:val="24"/>
          <w:lang w:val="en-US"/>
        </w:rPr>
        <w:t xml:space="preserve"> independent QAA</w:t>
      </w:r>
      <w:r w:rsidR="00D400CB" w:rsidRPr="003A59C0">
        <w:rPr>
          <w:rFonts w:ascii="Times New Roman" w:hAnsi="Times New Roman" w:cs="Times New Roman"/>
          <w:sz w:val="24"/>
          <w:szCs w:val="24"/>
          <w:lang w:val="en-US"/>
        </w:rPr>
        <w:t xml:space="preserve">s, but are not yet included in EQAR. </w:t>
      </w:r>
      <w:r w:rsidR="004867B4" w:rsidRPr="003A59C0">
        <w:rPr>
          <w:rFonts w:ascii="Times New Roman" w:hAnsi="Times New Roman" w:cs="Times New Roman"/>
          <w:sz w:val="24"/>
          <w:szCs w:val="24"/>
          <w:lang w:val="en-US"/>
        </w:rPr>
        <w:t xml:space="preserve">Serbia still operates </w:t>
      </w:r>
      <w:r w:rsidR="00D400CB" w:rsidRPr="003A59C0">
        <w:rPr>
          <w:rFonts w:ascii="Times New Roman" w:hAnsi="Times New Roman" w:cs="Times New Roman"/>
          <w:sz w:val="24"/>
          <w:szCs w:val="24"/>
          <w:lang w:val="en-US"/>
        </w:rPr>
        <w:t>with t</w:t>
      </w:r>
      <w:r w:rsidR="004867B4" w:rsidRPr="003A59C0">
        <w:rPr>
          <w:rFonts w:ascii="Times New Roman" w:hAnsi="Times New Roman" w:cs="Times New Roman"/>
          <w:sz w:val="24"/>
          <w:szCs w:val="24"/>
          <w:lang w:val="en-US"/>
        </w:rPr>
        <w:t xml:space="preserve">he Commission for Accreditation and Quality Assessment </w:t>
      </w:r>
      <w:r w:rsidR="00D400CB" w:rsidRPr="003A59C0">
        <w:rPr>
          <w:rFonts w:ascii="Times New Roman" w:hAnsi="Times New Roman" w:cs="Times New Roman"/>
          <w:sz w:val="24"/>
          <w:szCs w:val="24"/>
          <w:lang w:val="en-US"/>
        </w:rPr>
        <w:t xml:space="preserve">as legally </w:t>
      </w:r>
      <w:r w:rsidR="004867B4" w:rsidRPr="003A59C0">
        <w:rPr>
          <w:rFonts w:ascii="Times New Roman" w:hAnsi="Times New Roman" w:cs="Times New Roman"/>
          <w:sz w:val="24"/>
          <w:szCs w:val="24"/>
          <w:lang w:val="en-US"/>
        </w:rPr>
        <w:t xml:space="preserve">responsible for organising and monitoring </w:t>
      </w:r>
      <w:r w:rsidR="00D400CB" w:rsidRPr="003A59C0">
        <w:rPr>
          <w:rFonts w:ascii="Times New Roman" w:hAnsi="Times New Roman" w:cs="Times New Roman"/>
          <w:sz w:val="24"/>
          <w:szCs w:val="24"/>
          <w:lang w:val="en-US"/>
        </w:rPr>
        <w:t>QA</w:t>
      </w:r>
      <w:r w:rsidR="004867B4" w:rsidRPr="003A59C0">
        <w:rPr>
          <w:rFonts w:ascii="Times New Roman" w:hAnsi="Times New Roman" w:cs="Times New Roman"/>
          <w:sz w:val="24"/>
          <w:szCs w:val="24"/>
          <w:lang w:val="en-US"/>
        </w:rPr>
        <w:t xml:space="preserve"> in all </w:t>
      </w:r>
      <w:r w:rsidR="00D400CB" w:rsidRPr="003A59C0">
        <w:rPr>
          <w:rFonts w:ascii="Times New Roman" w:hAnsi="Times New Roman" w:cs="Times New Roman"/>
          <w:sz w:val="24"/>
          <w:szCs w:val="24"/>
          <w:lang w:val="en-US"/>
        </w:rPr>
        <w:t xml:space="preserve">HE </w:t>
      </w:r>
      <w:r w:rsidR="004867B4" w:rsidRPr="003A59C0">
        <w:rPr>
          <w:rFonts w:ascii="Times New Roman" w:hAnsi="Times New Roman" w:cs="Times New Roman"/>
          <w:sz w:val="24"/>
          <w:szCs w:val="24"/>
          <w:lang w:val="en-US"/>
        </w:rPr>
        <w:t xml:space="preserve">institutions. </w:t>
      </w:r>
      <w:r w:rsidR="00D400CB" w:rsidRPr="003A59C0">
        <w:rPr>
          <w:rFonts w:ascii="Times New Roman" w:hAnsi="Times New Roman" w:cs="Times New Roman"/>
          <w:sz w:val="24"/>
          <w:szCs w:val="24"/>
          <w:lang w:val="en-US"/>
        </w:rPr>
        <w:t>The importance of independent quality assurance features in policy documents in all countries, but o</w:t>
      </w:r>
      <w:r w:rsidR="000F4268" w:rsidRPr="003A59C0">
        <w:rPr>
          <w:rFonts w:ascii="Times New Roman" w:hAnsi="Times New Roman" w:cs="Times New Roman"/>
          <w:sz w:val="24"/>
          <w:szCs w:val="24"/>
          <w:lang w:val="en-US"/>
        </w:rPr>
        <w:t xml:space="preserve">nly the most recent Slovenian and Croatian policy documents </w:t>
      </w:r>
      <w:r w:rsidR="00B864FD" w:rsidRPr="003A59C0">
        <w:rPr>
          <w:rFonts w:ascii="Times New Roman" w:hAnsi="Times New Roman" w:cs="Times New Roman"/>
          <w:sz w:val="24"/>
          <w:szCs w:val="24"/>
          <w:lang w:val="en-US"/>
        </w:rPr>
        <w:t xml:space="preserve">newly </w:t>
      </w:r>
      <w:r w:rsidR="000F4268" w:rsidRPr="003A59C0">
        <w:rPr>
          <w:rFonts w:ascii="Times New Roman" w:hAnsi="Times New Roman" w:cs="Times New Roman"/>
          <w:sz w:val="24"/>
          <w:szCs w:val="24"/>
          <w:lang w:val="en-US"/>
        </w:rPr>
        <w:t xml:space="preserve">amplify the role of QAA also </w:t>
      </w:r>
      <w:r w:rsidR="00694B33" w:rsidRPr="003A59C0">
        <w:rPr>
          <w:rFonts w:ascii="Times New Roman" w:hAnsi="Times New Roman" w:cs="Times New Roman"/>
          <w:sz w:val="24"/>
          <w:szCs w:val="24"/>
          <w:lang w:val="en-US"/>
        </w:rPr>
        <w:t>in promot</w:t>
      </w:r>
      <w:r w:rsidR="000F4268" w:rsidRPr="003A59C0">
        <w:rPr>
          <w:rFonts w:ascii="Times New Roman" w:hAnsi="Times New Roman" w:cs="Times New Roman"/>
          <w:sz w:val="24"/>
          <w:szCs w:val="24"/>
          <w:lang w:val="en-US"/>
        </w:rPr>
        <w:t>ing institutional profiling</w:t>
      </w:r>
      <w:r w:rsidR="00694B33" w:rsidRPr="003A59C0">
        <w:rPr>
          <w:rFonts w:ascii="Times New Roman" w:hAnsi="Times New Roman" w:cs="Times New Roman"/>
          <w:sz w:val="24"/>
          <w:szCs w:val="24"/>
          <w:lang w:val="en-US"/>
        </w:rPr>
        <w:t xml:space="preserve">. </w:t>
      </w:r>
      <w:r w:rsidR="001763F3" w:rsidRPr="003A59C0">
        <w:rPr>
          <w:rFonts w:ascii="Times New Roman" w:hAnsi="Times New Roman" w:cs="Times New Roman"/>
          <w:sz w:val="24"/>
          <w:szCs w:val="24"/>
          <w:lang w:val="en-US"/>
        </w:rPr>
        <w:t xml:space="preserve">Concretely, the Slovenian Strategy stipulates that the output-based funding would be distributed also based on quality assessments, qualitative measures and international peer review. During cyclical reaccreditation the Agency would be able – among other issues – to monitor also the institution’s following its diversification strategy. </w:t>
      </w:r>
      <w:r w:rsidR="00694B33" w:rsidRPr="003A59C0">
        <w:rPr>
          <w:rFonts w:ascii="Times New Roman" w:hAnsi="Times New Roman" w:cs="Times New Roman"/>
          <w:sz w:val="24"/>
          <w:szCs w:val="24"/>
          <w:lang w:val="en-US"/>
        </w:rPr>
        <w:t>The existing accreditation mechanisms in the region</w:t>
      </w:r>
      <w:r w:rsidR="00B864FD" w:rsidRPr="003A59C0">
        <w:rPr>
          <w:rFonts w:ascii="Times New Roman" w:hAnsi="Times New Roman" w:cs="Times New Roman"/>
          <w:sz w:val="24"/>
          <w:szCs w:val="24"/>
          <w:lang w:val="en-US"/>
        </w:rPr>
        <w:t xml:space="preserve"> </w:t>
      </w:r>
      <w:r w:rsidR="00694B33" w:rsidRPr="003A59C0">
        <w:rPr>
          <w:rFonts w:ascii="Times New Roman" w:hAnsi="Times New Roman" w:cs="Times New Roman"/>
          <w:sz w:val="24"/>
          <w:szCs w:val="24"/>
          <w:lang w:val="en-US"/>
        </w:rPr>
        <w:t xml:space="preserve">are typically based on a set of uniform criteria and indicators for institutional and study program evaluation, and institutions seek to reach the minimum indicators in order to obtain the accreditation. Such uniformity does not promote institutional diversity. In fact, </w:t>
      </w:r>
      <w:r w:rsidR="000F4268" w:rsidRPr="003A59C0">
        <w:rPr>
          <w:rFonts w:ascii="Times New Roman" w:hAnsi="Times New Roman" w:cs="Times New Roman"/>
          <w:sz w:val="24"/>
          <w:szCs w:val="24"/>
          <w:lang w:val="en-US"/>
        </w:rPr>
        <w:t xml:space="preserve">as suggested by Codling and Meek (2006), </w:t>
      </w:r>
      <w:r w:rsidR="00694B33" w:rsidRPr="003A59C0">
        <w:rPr>
          <w:rFonts w:ascii="Times New Roman" w:hAnsi="Times New Roman" w:cs="Times New Roman"/>
          <w:sz w:val="24"/>
          <w:szCs w:val="24"/>
          <w:lang w:val="en-US"/>
        </w:rPr>
        <w:t xml:space="preserve">it creates circumstances conducive to conformity, isomorphism and thus homogeneity between institutions. </w:t>
      </w:r>
    </w:p>
    <w:p w:rsidR="00694B33" w:rsidRDefault="00CE50E9" w:rsidP="00D97461">
      <w:pPr>
        <w:jc w:val="both"/>
        <w:rPr>
          <w:rFonts w:ascii="Times New Roman" w:hAnsi="Times New Roman" w:cs="Times New Roman"/>
          <w:sz w:val="24"/>
          <w:szCs w:val="24"/>
          <w:lang w:val="en-US"/>
        </w:rPr>
      </w:pPr>
      <w:r>
        <w:rPr>
          <w:rFonts w:ascii="Times New Roman" w:hAnsi="Times New Roman" w:cs="Times New Roman"/>
          <w:sz w:val="24"/>
          <w:szCs w:val="24"/>
          <w:lang w:val="en-US"/>
        </w:rPr>
        <w:t>Also</w:t>
      </w:r>
      <w:r w:rsidR="00B864FD" w:rsidRPr="003A59C0">
        <w:rPr>
          <w:rFonts w:ascii="Times New Roman" w:hAnsi="Times New Roman" w:cs="Times New Roman"/>
          <w:sz w:val="24"/>
          <w:szCs w:val="24"/>
          <w:lang w:val="en-US"/>
        </w:rPr>
        <w:t xml:space="preserve">, </w:t>
      </w:r>
      <w:r w:rsidR="00694B33" w:rsidRPr="003A59C0">
        <w:rPr>
          <w:rFonts w:ascii="Times New Roman" w:hAnsi="Times New Roman" w:cs="Times New Roman"/>
          <w:sz w:val="24"/>
          <w:szCs w:val="24"/>
          <w:lang w:val="en-US"/>
        </w:rPr>
        <w:t xml:space="preserve">the transparency tools developed with support of the EC are not reflected in any of the </w:t>
      </w:r>
      <w:r w:rsidR="001763F3" w:rsidRPr="003A59C0">
        <w:rPr>
          <w:rFonts w:ascii="Times New Roman" w:hAnsi="Times New Roman" w:cs="Times New Roman"/>
          <w:sz w:val="24"/>
          <w:szCs w:val="24"/>
          <w:lang w:val="en-US"/>
        </w:rPr>
        <w:t xml:space="preserve">reviewed policy </w:t>
      </w:r>
      <w:r w:rsidR="00694B33" w:rsidRPr="003A59C0">
        <w:rPr>
          <w:rFonts w:ascii="Times New Roman" w:hAnsi="Times New Roman" w:cs="Times New Roman"/>
          <w:sz w:val="24"/>
          <w:szCs w:val="24"/>
          <w:lang w:val="en-US"/>
        </w:rPr>
        <w:t xml:space="preserve">documents. </w:t>
      </w:r>
      <w:r w:rsidR="001763F3" w:rsidRPr="003A59C0">
        <w:rPr>
          <w:rFonts w:ascii="Times New Roman" w:hAnsi="Times New Roman" w:cs="Times New Roman"/>
          <w:sz w:val="24"/>
          <w:szCs w:val="24"/>
          <w:lang w:val="en-US"/>
        </w:rPr>
        <w:t xml:space="preserve">The countries typically disclose the list of all accredited public and private institutions on the website of the Ministry responsible for HE. </w:t>
      </w:r>
      <w:r w:rsidR="00AA7E40" w:rsidRPr="00AA7E40">
        <w:rPr>
          <w:rFonts w:ascii="Times New Roman" w:hAnsi="Times New Roman" w:cs="Times New Roman"/>
          <w:sz w:val="24"/>
          <w:szCs w:val="24"/>
          <w:lang w:val="en-US"/>
        </w:rPr>
        <w:t xml:space="preserve">National rankings of institutions have not been developed in </w:t>
      </w:r>
      <w:r w:rsidR="00AA7E40">
        <w:rPr>
          <w:rFonts w:ascii="Times New Roman" w:hAnsi="Times New Roman" w:cs="Times New Roman"/>
          <w:sz w:val="24"/>
          <w:szCs w:val="24"/>
          <w:lang w:val="en-US"/>
        </w:rPr>
        <w:t>any of the</w:t>
      </w:r>
      <w:r w:rsidR="00AA7E40" w:rsidRPr="00AA7E40">
        <w:rPr>
          <w:rFonts w:ascii="Times New Roman" w:hAnsi="Times New Roman" w:cs="Times New Roman"/>
          <w:sz w:val="24"/>
          <w:szCs w:val="24"/>
          <w:lang w:val="en-US"/>
        </w:rPr>
        <w:t xml:space="preserve"> countries</w:t>
      </w:r>
      <w:r w:rsidR="00AA7E40">
        <w:rPr>
          <w:rFonts w:ascii="Times New Roman" w:hAnsi="Times New Roman" w:cs="Times New Roman"/>
          <w:sz w:val="24"/>
          <w:szCs w:val="24"/>
          <w:lang w:val="en-US"/>
        </w:rPr>
        <w:t xml:space="preserve"> but Albania</w:t>
      </w:r>
      <w:r w:rsidR="00CA21F5" w:rsidRPr="003A59C0">
        <w:rPr>
          <w:rFonts w:ascii="Times New Roman" w:hAnsi="Times New Roman" w:cs="Times New Roman"/>
          <w:sz w:val="24"/>
          <w:szCs w:val="24"/>
          <w:lang w:val="en-US"/>
        </w:rPr>
        <w:t xml:space="preserve">. In 2011, the </w:t>
      </w:r>
      <w:r w:rsidR="00694B33" w:rsidRPr="003A59C0">
        <w:rPr>
          <w:rFonts w:ascii="Times New Roman" w:hAnsi="Times New Roman" w:cs="Times New Roman"/>
          <w:sz w:val="24"/>
          <w:szCs w:val="24"/>
          <w:lang w:val="en-US"/>
        </w:rPr>
        <w:t xml:space="preserve">Albanian Ministry of </w:t>
      </w:r>
      <w:r w:rsidR="00CA21F5" w:rsidRPr="003A59C0">
        <w:rPr>
          <w:rFonts w:ascii="Times New Roman" w:hAnsi="Times New Roman" w:cs="Times New Roman"/>
          <w:sz w:val="24"/>
          <w:szCs w:val="24"/>
          <w:lang w:val="en-US"/>
        </w:rPr>
        <w:t xml:space="preserve">Education and Science </w:t>
      </w:r>
      <w:r w:rsidR="00694B33" w:rsidRPr="003A59C0">
        <w:rPr>
          <w:rFonts w:ascii="Times New Roman" w:hAnsi="Times New Roman" w:cs="Times New Roman"/>
          <w:sz w:val="24"/>
          <w:szCs w:val="24"/>
          <w:lang w:val="en-US"/>
        </w:rPr>
        <w:t>commissioned Centre for Higher Education from Germany to conduct pilot national ranking of HE instituti</w:t>
      </w:r>
      <w:r w:rsidR="00CA21F5" w:rsidRPr="003A59C0">
        <w:rPr>
          <w:rFonts w:ascii="Times New Roman" w:hAnsi="Times New Roman" w:cs="Times New Roman"/>
          <w:sz w:val="24"/>
          <w:szCs w:val="24"/>
          <w:lang w:val="en-US"/>
        </w:rPr>
        <w:t>ons in Albania (CHE 2011) with ‘</w:t>
      </w:r>
      <w:r w:rsidR="00694B33" w:rsidRPr="003A59C0">
        <w:rPr>
          <w:rFonts w:ascii="Times New Roman" w:hAnsi="Times New Roman" w:cs="Times New Roman"/>
          <w:sz w:val="24"/>
          <w:szCs w:val="24"/>
          <w:lang w:val="en-US"/>
        </w:rPr>
        <w:t>the aim to increase transparency about the Albanian HE system and to give information to (prospective) students so that they could to make an informed choice on their studies, as well as to inform policy makers and the broader public of the ac</w:t>
      </w:r>
      <w:r w:rsidR="00CA21F5" w:rsidRPr="003A59C0">
        <w:rPr>
          <w:rFonts w:ascii="Times New Roman" w:hAnsi="Times New Roman" w:cs="Times New Roman"/>
          <w:sz w:val="24"/>
          <w:szCs w:val="24"/>
          <w:lang w:val="en-US"/>
        </w:rPr>
        <w:t>tual performance of Albanian HE’</w:t>
      </w:r>
      <w:r w:rsidR="00AA7E40">
        <w:rPr>
          <w:rFonts w:ascii="Times New Roman" w:hAnsi="Times New Roman" w:cs="Times New Roman"/>
          <w:sz w:val="24"/>
          <w:szCs w:val="24"/>
          <w:lang w:val="en-US"/>
        </w:rPr>
        <w:t xml:space="preserve">. Mentioning of capacity indicators in Serbian strategy might be pointing to a similar direction. Our interviews with institutional leaders and survey of academic opinions have shown that international university rankings </w:t>
      </w:r>
      <w:r w:rsidR="006A1B9F">
        <w:rPr>
          <w:rFonts w:ascii="Times New Roman" w:hAnsi="Times New Roman" w:cs="Times New Roman"/>
          <w:sz w:val="24"/>
          <w:szCs w:val="24"/>
          <w:lang w:val="en-US"/>
        </w:rPr>
        <w:t xml:space="preserve">are a relevant factor in defining institutional goals and strategies and that research excellence is </w:t>
      </w:r>
      <w:r w:rsidR="00D97461">
        <w:rPr>
          <w:rFonts w:ascii="Times New Roman" w:hAnsi="Times New Roman" w:cs="Times New Roman"/>
          <w:sz w:val="24"/>
          <w:szCs w:val="24"/>
          <w:lang w:val="en-US"/>
        </w:rPr>
        <w:t>an ambition prevalent in all countries</w:t>
      </w:r>
      <w:r w:rsidR="006A1B9F">
        <w:rPr>
          <w:rFonts w:ascii="Times New Roman" w:hAnsi="Times New Roman" w:cs="Times New Roman"/>
          <w:sz w:val="24"/>
          <w:szCs w:val="24"/>
          <w:lang w:val="en-US"/>
        </w:rPr>
        <w:t xml:space="preserve"> (CEPS, 2012). </w:t>
      </w:r>
      <w:r w:rsidR="00D97461">
        <w:rPr>
          <w:rFonts w:ascii="Times New Roman" w:hAnsi="Times New Roman" w:cs="Times New Roman"/>
          <w:sz w:val="24"/>
          <w:szCs w:val="24"/>
          <w:lang w:val="en-US"/>
        </w:rPr>
        <w:t>In fact, in all countries research policies enclose objectives of increasing research funding for excellent research, developing centres of excellence and scientific profiling of universities</w:t>
      </w:r>
      <w:r w:rsidR="009A0960">
        <w:rPr>
          <w:rFonts w:ascii="Times New Roman" w:hAnsi="Times New Roman" w:cs="Times New Roman"/>
          <w:sz w:val="24"/>
          <w:szCs w:val="24"/>
          <w:lang w:val="en-US"/>
        </w:rPr>
        <w:t xml:space="preserve"> (Croatia 2011, Slovenia 2011, Serbia 2012, Albania 2008)</w:t>
      </w:r>
      <w:r w:rsidR="00D97461">
        <w:rPr>
          <w:rFonts w:ascii="Times New Roman" w:hAnsi="Times New Roman" w:cs="Times New Roman"/>
          <w:sz w:val="24"/>
          <w:szCs w:val="24"/>
          <w:lang w:val="en-US"/>
        </w:rPr>
        <w:t>. In other words, through research policy, research quality in universities is promoted and research quality is perhaps one single most important element of diversification. H</w:t>
      </w:r>
      <w:r>
        <w:rPr>
          <w:rFonts w:ascii="Times New Roman" w:hAnsi="Times New Roman" w:cs="Times New Roman"/>
          <w:sz w:val="24"/>
          <w:szCs w:val="24"/>
          <w:lang w:val="en-US"/>
        </w:rPr>
        <w:t xml:space="preserve">ence, while the traces of European </w:t>
      </w:r>
      <w:r w:rsidR="00D97461">
        <w:rPr>
          <w:rFonts w:ascii="Times New Roman" w:hAnsi="Times New Roman" w:cs="Times New Roman"/>
          <w:sz w:val="24"/>
          <w:szCs w:val="24"/>
          <w:lang w:val="en-US"/>
        </w:rPr>
        <w:t>HE policy recommendations appear</w:t>
      </w:r>
      <w:r>
        <w:rPr>
          <w:rFonts w:ascii="Times New Roman" w:hAnsi="Times New Roman" w:cs="Times New Roman"/>
          <w:sz w:val="24"/>
          <w:szCs w:val="24"/>
          <w:lang w:val="en-US"/>
        </w:rPr>
        <w:t xml:space="preserve"> somewhat</w:t>
      </w:r>
      <w:r w:rsidR="00D97461">
        <w:rPr>
          <w:rFonts w:ascii="Times New Roman" w:hAnsi="Times New Roman" w:cs="Times New Roman"/>
          <w:sz w:val="24"/>
          <w:szCs w:val="24"/>
          <w:lang w:val="en-US"/>
        </w:rPr>
        <w:t xml:space="preserve"> patchy </w:t>
      </w:r>
      <w:r>
        <w:rPr>
          <w:rFonts w:ascii="Times New Roman" w:hAnsi="Times New Roman" w:cs="Times New Roman"/>
          <w:sz w:val="24"/>
          <w:szCs w:val="24"/>
          <w:lang w:val="en-US"/>
        </w:rPr>
        <w:t xml:space="preserve">and uneven across the four countries, the downloading of EU recommendations in terms of research excellence appears much more unequivocal. </w:t>
      </w:r>
    </w:p>
    <w:p w:rsidR="004A2E58" w:rsidRDefault="004A2E58" w:rsidP="00D97461">
      <w:pPr>
        <w:jc w:val="both"/>
        <w:rPr>
          <w:rFonts w:ascii="Times New Roman" w:hAnsi="Times New Roman" w:cs="Times New Roman"/>
          <w:sz w:val="24"/>
          <w:szCs w:val="24"/>
          <w:lang w:val="en-US"/>
        </w:rPr>
      </w:pPr>
      <w:r>
        <w:rPr>
          <w:rFonts w:ascii="Times New Roman" w:hAnsi="Times New Roman" w:cs="Times New Roman"/>
          <w:sz w:val="24"/>
          <w:szCs w:val="24"/>
          <w:lang w:val="en-US"/>
        </w:rPr>
        <w:t>There has been ample assistance from the EU helping the Western Balkan countries’</w:t>
      </w:r>
      <w:r w:rsidRPr="004A2E58">
        <w:rPr>
          <w:rFonts w:ascii="Times New Roman" w:hAnsi="Times New Roman" w:cs="Times New Roman"/>
          <w:sz w:val="24"/>
          <w:szCs w:val="24"/>
          <w:lang w:val="en-US"/>
        </w:rPr>
        <w:t xml:space="preserve"> integration i</w:t>
      </w:r>
      <w:r>
        <w:rPr>
          <w:rFonts w:ascii="Times New Roman" w:hAnsi="Times New Roman" w:cs="Times New Roman"/>
          <w:sz w:val="24"/>
          <w:szCs w:val="24"/>
          <w:lang w:val="en-US"/>
        </w:rPr>
        <w:t>nto the European Research Area [ERA]</w:t>
      </w:r>
      <w:r w:rsidRPr="004A2E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June 2006, </w:t>
      </w:r>
      <w:r w:rsidRPr="004A2E58">
        <w:rPr>
          <w:rFonts w:ascii="Times New Roman" w:hAnsi="Times New Roman" w:cs="Times New Roman"/>
          <w:sz w:val="24"/>
          <w:szCs w:val="24"/>
          <w:lang w:val="en-US"/>
        </w:rPr>
        <w:t>the E</w:t>
      </w:r>
      <w:r>
        <w:rPr>
          <w:rFonts w:ascii="Times New Roman" w:hAnsi="Times New Roman" w:cs="Times New Roman"/>
          <w:sz w:val="24"/>
          <w:szCs w:val="24"/>
          <w:lang w:val="en-US"/>
        </w:rPr>
        <w:t>C</w:t>
      </w:r>
      <w:r w:rsidRPr="004A2E58">
        <w:rPr>
          <w:rFonts w:ascii="Times New Roman" w:hAnsi="Times New Roman" w:cs="Times New Roman"/>
          <w:sz w:val="24"/>
          <w:szCs w:val="24"/>
          <w:lang w:val="en-US"/>
        </w:rPr>
        <w:t>, together with the Austrian EU Presidency, launched the Steering Platform on Research for Western Balkans</w:t>
      </w:r>
      <w:r>
        <w:rPr>
          <w:rFonts w:ascii="Times New Roman" w:hAnsi="Times New Roman" w:cs="Times New Roman"/>
          <w:sz w:val="24"/>
          <w:szCs w:val="24"/>
          <w:lang w:val="en-US"/>
        </w:rPr>
        <w:t xml:space="preserve">. </w:t>
      </w:r>
      <w:r w:rsidRPr="004A2E58">
        <w:rPr>
          <w:rFonts w:ascii="Times New Roman" w:hAnsi="Times New Roman" w:cs="Times New Roman"/>
          <w:sz w:val="24"/>
          <w:szCs w:val="24"/>
          <w:lang w:val="en-US"/>
        </w:rPr>
        <w:t xml:space="preserve">Through </w:t>
      </w:r>
      <w:r>
        <w:rPr>
          <w:rFonts w:ascii="Times New Roman" w:hAnsi="Times New Roman" w:cs="Times New Roman"/>
          <w:sz w:val="24"/>
          <w:szCs w:val="24"/>
          <w:lang w:val="en-US"/>
        </w:rPr>
        <w:t xml:space="preserve">the </w:t>
      </w:r>
      <w:r w:rsidRPr="004A2E58">
        <w:rPr>
          <w:rFonts w:ascii="Times New Roman" w:hAnsi="Times New Roman" w:cs="Times New Roman"/>
          <w:sz w:val="24"/>
          <w:szCs w:val="24"/>
          <w:lang w:val="en-US"/>
        </w:rPr>
        <w:t xml:space="preserve">Framework Program and support actions </w:t>
      </w:r>
      <w:r>
        <w:rPr>
          <w:rFonts w:ascii="Times New Roman" w:hAnsi="Times New Roman" w:cs="Times New Roman"/>
          <w:sz w:val="24"/>
          <w:szCs w:val="24"/>
          <w:lang w:val="en-US"/>
        </w:rPr>
        <w:t xml:space="preserve">EU funded </w:t>
      </w:r>
      <w:r w:rsidRPr="004A2E58">
        <w:rPr>
          <w:rFonts w:ascii="Times New Roman" w:hAnsi="Times New Roman" w:cs="Times New Roman"/>
          <w:sz w:val="24"/>
          <w:szCs w:val="24"/>
          <w:lang w:val="en-US"/>
        </w:rPr>
        <w:t xml:space="preserve">several projects to support exchange of information and national policy development. Most notable were: the FP6 Southern European Research Area </w:t>
      </w:r>
      <w:r>
        <w:rPr>
          <w:rFonts w:ascii="Times New Roman" w:hAnsi="Times New Roman" w:cs="Times New Roman"/>
          <w:sz w:val="24"/>
          <w:szCs w:val="24"/>
          <w:lang w:val="en-US"/>
        </w:rPr>
        <w:t>project (SEE-ERA.NET)</w:t>
      </w:r>
      <w:r w:rsidRPr="004A2E58">
        <w:rPr>
          <w:rFonts w:ascii="Times New Roman" w:hAnsi="Times New Roman" w:cs="Times New Roman"/>
          <w:sz w:val="24"/>
          <w:szCs w:val="24"/>
          <w:lang w:val="en-US"/>
        </w:rPr>
        <w:t xml:space="preserve">, a networking project aimed at linking research activities within existing national, bilateral and regional </w:t>
      </w:r>
      <w:r>
        <w:rPr>
          <w:rFonts w:ascii="Times New Roman" w:hAnsi="Times New Roman" w:cs="Times New Roman"/>
          <w:sz w:val="24"/>
          <w:szCs w:val="24"/>
          <w:lang w:val="en-US"/>
        </w:rPr>
        <w:t>programs,</w:t>
      </w:r>
      <w:r w:rsidRPr="004A2E58">
        <w:rPr>
          <w:rFonts w:ascii="Times New Roman" w:hAnsi="Times New Roman" w:cs="Times New Roman"/>
          <w:sz w:val="24"/>
          <w:szCs w:val="24"/>
          <w:lang w:val="en-US"/>
        </w:rPr>
        <w:t xml:space="preserve"> and the FP7 WBC-INCO.NET, a project aimed at co-coordination of research policies with the Western Balkans. Since 1 January 2009, all the Western Balkan countries are associated to EU’s Framework Programme 7; thus formally benefiting from the same research opportunities, and subject to the same obligations, as entities established in the EU Member States. In 2012, the EU and the World Bank signed an agreement to implement a technical assistance program for the development of a Regional Research and Development Strategy for Innovation in the Western Balkans (not including Slovenia). The strategy aims at in particular at increasing the economic impact of R&amp;D in the Western Balkans; and to develop a comprehensive approach towards integrating the three axes of the knowledge triangle, namely education, research and innovation.</w:t>
      </w:r>
    </w:p>
    <w:p w:rsidR="00591443" w:rsidRPr="003A59C0" w:rsidRDefault="009F7515" w:rsidP="002D15B0">
      <w:pPr>
        <w:jc w:val="both"/>
        <w:rPr>
          <w:rFonts w:ascii="Times New Roman" w:eastAsia="Times New Roman" w:hAnsi="Times New Roman" w:cs="Times New Roman"/>
          <w:color w:val="221E1F"/>
          <w:sz w:val="24"/>
          <w:szCs w:val="24"/>
        </w:rPr>
      </w:pPr>
      <w:r w:rsidRPr="003A59C0">
        <w:rPr>
          <w:rFonts w:ascii="Times New Roman" w:eastAsia="Times New Roman" w:hAnsi="Times New Roman" w:cs="Times New Roman"/>
          <w:sz w:val="24"/>
          <w:szCs w:val="24"/>
          <w:lang w:val="en-US"/>
        </w:rPr>
        <w:t>F</w:t>
      </w:r>
      <w:r w:rsidR="00CE50E9">
        <w:rPr>
          <w:rFonts w:ascii="Times New Roman" w:eastAsia="Times New Roman" w:hAnsi="Times New Roman" w:cs="Times New Roman"/>
          <w:sz w:val="24"/>
          <w:szCs w:val="24"/>
          <w:lang w:val="en-US"/>
        </w:rPr>
        <w:t xml:space="preserve">inally, </w:t>
      </w:r>
      <w:r w:rsidRPr="003A59C0">
        <w:rPr>
          <w:rFonts w:ascii="Times New Roman" w:eastAsia="Times New Roman" w:hAnsi="Times New Roman" w:cs="Times New Roman"/>
          <w:sz w:val="24"/>
          <w:szCs w:val="24"/>
          <w:lang w:val="en-US"/>
        </w:rPr>
        <w:t xml:space="preserve">our research shows that European recommendations regarding institutional </w:t>
      </w:r>
      <w:r w:rsidR="00CE50E9">
        <w:rPr>
          <w:rFonts w:ascii="Times New Roman" w:eastAsia="Times New Roman" w:hAnsi="Times New Roman" w:cs="Times New Roman"/>
          <w:sz w:val="24"/>
          <w:szCs w:val="24"/>
          <w:lang w:val="en-US"/>
        </w:rPr>
        <w:t>profiling</w:t>
      </w:r>
      <w:r w:rsidRPr="003A59C0">
        <w:rPr>
          <w:rFonts w:ascii="Times New Roman" w:eastAsia="Times New Roman" w:hAnsi="Times New Roman" w:cs="Times New Roman"/>
          <w:sz w:val="24"/>
          <w:szCs w:val="24"/>
          <w:lang w:val="en-US"/>
        </w:rPr>
        <w:t xml:space="preserve"> have not diffused onto the institutional level (CEPS 2012). </w:t>
      </w:r>
      <w:r w:rsidR="0094566D" w:rsidRPr="003A59C0">
        <w:rPr>
          <w:rFonts w:ascii="Times New Roman" w:eastAsia="Times New Roman" w:hAnsi="Times New Roman" w:cs="Times New Roman"/>
          <w:sz w:val="24"/>
          <w:szCs w:val="24"/>
          <w:lang w:val="en-US"/>
        </w:rPr>
        <w:t xml:space="preserve">From interviews conducted with institutional leaders at the major universities in the four countries, </w:t>
      </w:r>
      <w:r w:rsidRPr="003A59C0">
        <w:rPr>
          <w:rFonts w:ascii="Times New Roman" w:eastAsia="Times New Roman" w:hAnsi="Times New Roman" w:cs="Times New Roman"/>
          <w:sz w:val="24"/>
          <w:szCs w:val="24"/>
          <w:lang w:val="en-US"/>
        </w:rPr>
        <w:t xml:space="preserve">we conclude that </w:t>
      </w:r>
      <w:r w:rsidR="0094566D" w:rsidRPr="003A59C0">
        <w:rPr>
          <w:rFonts w:ascii="Times New Roman" w:eastAsia="Times New Roman" w:hAnsi="Times New Roman" w:cs="Times New Roman"/>
          <w:sz w:val="24"/>
          <w:szCs w:val="24"/>
          <w:lang w:val="en-US"/>
        </w:rPr>
        <w:t>institutional profili</w:t>
      </w:r>
      <w:r w:rsidRPr="003A59C0">
        <w:rPr>
          <w:rFonts w:ascii="Times New Roman" w:eastAsia="Times New Roman" w:hAnsi="Times New Roman" w:cs="Times New Roman"/>
          <w:sz w:val="24"/>
          <w:szCs w:val="24"/>
          <w:lang w:val="en-US"/>
        </w:rPr>
        <w:t>ng is not even considered (CEPS</w:t>
      </w:r>
      <w:r w:rsidR="0094566D" w:rsidRPr="003A59C0">
        <w:rPr>
          <w:rFonts w:ascii="Times New Roman" w:eastAsia="Times New Roman" w:hAnsi="Times New Roman" w:cs="Times New Roman"/>
          <w:sz w:val="24"/>
          <w:szCs w:val="24"/>
          <w:lang w:val="en-US"/>
        </w:rPr>
        <w:t xml:space="preserve"> 2012).</w:t>
      </w:r>
      <w:r w:rsidRPr="003A59C0">
        <w:rPr>
          <w:rFonts w:ascii="Times New Roman" w:eastAsia="Times New Roman" w:hAnsi="Times New Roman" w:cs="Times New Roman"/>
          <w:sz w:val="24"/>
          <w:szCs w:val="24"/>
          <w:lang w:val="en-US"/>
        </w:rPr>
        <w:t xml:space="preserve"> One interviewee from a government stated that the goal o</w:t>
      </w:r>
      <w:r w:rsidR="00C64272" w:rsidRPr="003A59C0">
        <w:rPr>
          <w:rFonts w:ascii="Times New Roman" w:eastAsia="Times New Roman" w:hAnsi="Times New Roman" w:cs="Times New Roman"/>
          <w:sz w:val="24"/>
          <w:szCs w:val="24"/>
          <w:lang w:val="en-US"/>
        </w:rPr>
        <w:t>f institutional profiling was ‘a</w:t>
      </w:r>
      <w:r w:rsidRPr="003A59C0">
        <w:rPr>
          <w:rFonts w:ascii="Times New Roman" w:eastAsia="Times New Roman" w:hAnsi="Times New Roman" w:cs="Times New Roman"/>
          <w:sz w:val="24"/>
          <w:szCs w:val="24"/>
          <w:lang w:val="en-US"/>
        </w:rPr>
        <w:t>rtificially introd</w:t>
      </w:r>
      <w:r w:rsidR="00C64272" w:rsidRPr="003A59C0">
        <w:rPr>
          <w:rFonts w:ascii="Times New Roman" w:eastAsia="Times New Roman" w:hAnsi="Times New Roman" w:cs="Times New Roman"/>
          <w:sz w:val="24"/>
          <w:szCs w:val="24"/>
          <w:lang w:val="en-US"/>
        </w:rPr>
        <w:t>uced from international context’ and that ‘national “space”</w:t>
      </w:r>
      <w:r w:rsidRPr="003A59C0">
        <w:rPr>
          <w:rFonts w:ascii="Times New Roman" w:eastAsia="Times New Roman" w:hAnsi="Times New Roman" w:cs="Times New Roman"/>
          <w:sz w:val="24"/>
          <w:szCs w:val="24"/>
          <w:lang w:val="en-US"/>
        </w:rPr>
        <w:t xml:space="preserve"> did n</w:t>
      </w:r>
      <w:r w:rsidR="00C64272" w:rsidRPr="003A59C0">
        <w:rPr>
          <w:rFonts w:ascii="Times New Roman" w:eastAsia="Times New Roman" w:hAnsi="Times New Roman" w:cs="Times New Roman"/>
          <w:sz w:val="24"/>
          <w:szCs w:val="24"/>
          <w:lang w:val="en-US"/>
        </w:rPr>
        <w:t>ot feel it like its own problem’</w:t>
      </w:r>
      <w:r w:rsidRPr="003A59C0">
        <w:rPr>
          <w:rFonts w:ascii="Times New Roman" w:eastAsia="Times New Roman" w:hAnsi="Times New Roman" w:cs="Times New Roman"/>
          <w:sz w:val="24"/>
          <w:szCs w:val="24"/>
          <w:lang w:val="en-US"/>
        </w:rPr>
        <w:t xml:space="preserve"> (43_16.2.2012). </w:t>
      </w:r>
      <w:r w:rsidR="007165BF" w:rsidRPr="003A59C0">
        <w:rPr>
          <w:rFonts w:ascii="Times New Roman" w:eastAsia="Times New Roman" w:hAnsi="Times New Roman" w:cs="Times New Roman"/>
          <w:color w:val="221E1F"/>
          <w:sz w:val="24"/>
          <w:szCs w:val="24"/>
        </w:rPr>
        <w:t xml:space="preserve">While </w:t>
      </w:r>
      <w:r w:rsidR="00591443">
        <w:rPr>
          <w:rFonts w:ascii="Times New Roman" w:eastAsia="Times New Roman" w:hAnsi="Times New Roman" w:cs="Times New Roman"/>
          <w:color w:val="221E1F"/>
          <w:sz w:val="24"/>
          <w:szCs w:val="24"/>
        </w:rPr>
        <w:t xml:space="preserve">institutional profiling as recommended by the EC is largely absent from institutional strategies, our empirical data shows that recommendations on other policy issues are perceived as diffused from international context. </w:t>
      </w:r>
      <w:r w:rsidR="007165BF" w:rsidRPr="003A59C0">
        <w:rPr>
          <w:rFonts w:ascii="Times New Roman" w:eastAsia="Times New Roman" w:hAnsi="Times New Roman" w:cs="Times New Roman"/>
          <w:color w:val="221E1F"/>
          <w:sz w:val="24"/>
          <w:szCs w:val="24"/>
        </w:rPr>
        <w:t>The results from interviews with academic personnel in the Western Balkan countries show that academics tend to see international organisations importantly influencing changes within their institutions (CEPS 2012). Bologna-related reforms, such as quality assurance, certainly fall under this category, as indicated by the survey and also emerging from our interviews (CEPS 2012). We asked academics in the region whether they agreed or disagreed with the following statement: “Reforms of the internal quality assurance procedures of my institution are imposed by various actors”. International organisations, specified such as the EU, OECD, Bologna Process were perceived to impose reforms even more than national government (but less than</w:t>
      </w:r>
      <w:r w:rsidR="00C161E9" w:rsidRPr="003A59C0">
        <w:rPr>
          <w:rFonts w:ascii="Times New Roman" w:eastAsia="Times New Roman" w:hAnsi="Times New Roman" w:cs="Times New Roman"/>
          <w:color w:val="221E1F"/>
          <w:sz w:val="24"/>
          <w:szCs w:val="24"/>
        </w:rPr>
        <w:t xml:space="preserve"> institutional leadership) (</w:t>
      </w:r>
      <w:r w:rsidR="007165BF" w:rsidRPr="003A59C0">
        <w:rPr>
          <w:rFonts w:ascii="Times New Roman" w:eastAsia="Times New Roman" w:hAnsi="Times New Roman" w:cs="Times New Roman"/>
          <w:color w:val="221E1F"/>
          <w:sz w:val="24"/>
          <w:szCs w:val="24"/>
        </w:rPr>
        <w:t xml:space="preserve">Graph 1). Only in Albania, the academics evaluated the imposition of the government and internationals on institutional reforms as of similar value. </w:t>
      </w:r>
      <w:r w:rsidR="00591443" w:rsidRPr="00591443">
        <w:rPr>
          <w:rFonts w:ascii="Times New Roman" w:eastAsia="Times New Roman" w:hAnsi="Times New Roman" w:cs="Times New Roman"/>
          <w:color w:val="221E1F"/>
          <w:sz w:val="24"/>
          <w:szCs w:val="24"/>
        </w:rPr>
        <w:t xml:space="preserve">The perceived influence by “internationals” was, however, perceived lower than that of governments on the question of the reform of governance structures and financing (Graph 2). </w:t>
      </w:r>
      <w:r w:rsidR="00591443">
        <w:rPr>
          <w:rFonts w:ascii="Times New Roman" w:eastAsia="Times New Roman" w:hAnsi="Times New Roman" w:cs="Times New Roman"/>
          <w:color w:val="221E1F"/>
          <w:sz w:val="24"/>
          <w:szCs w:val="24"/>
        </w:rPr>
        <w:t>P</w:t>
      </w:r>
      <w:r w:rsidR="00591443" w:rsidRPr="00591443">
        <w:rPr>
          <w:rFonts w:ascii="Times New Roman" w:eastAsia="Times New Roman" w:hAnsi="Times New Roman" w:cs="Times New Roman"/>
          <w:color w:val="221E1F"/>
          <w:sz w:val="24"/>
          <w:szCs w:val="24"/>
        </w:rPr>
        <w:t>olicies towards institutional profiling are deeply tight into funding policy if they are to be effective</w:t>
      </w:r>
      <w:r w:rsidR="00591443">
        <w:rPr>
          <w:rFonts w:ascii="Times New Roman" w:eastAsia="Times New Roman" w:hAnsi="Times New Roman" w:cs="Times New Roman"/>
          <w:color w:val="221E1F"/>
          <w:sz w:val="24"/>
          <w:szCs w:val="24"/>
        </w:rPr>
        <w:t xml:space="preserve">. Hence, it is to be expected that the concrete instruments in regard to institutional profiling </w:t>
      </w:r>
      <w:r w:rsidR="002D15B0">
        <w:rPr>
          <w:rFonts w:ascii="Times New Roman" w:eastAsia="Times New Roman" w:hAnsi="Times New Roman" w:cs="Times New Roman"/>
          <w:color w:val="221E1F"/>
          <w:sz w:val="24"/>
          <w:szCs w:val="24"/>
        </w:rPr>
        <w:t>will be very much domestically</w:t>
      </w:r>
      <w:r w:rsidR="00591443" w:rsidRPr="00591443">
        <w:rPr>
          <w:rFonts w:ascii="Times New Roman" w:eastAsia="Times New Roman" w:hAnsi="Times New Roman" w:cs="Times New Roman"/>
          <w:color w:val="221E1F"/>
          <w:sz w:val="24"/>
          <w:szCs w:val="24"/>
        </w:rPr>
        <w:t>-driven</w:t>
      </w:r>
      <w:r w:rsidR="002D15B0">
        <w:rPr>
          <w:rFonts w:ascii="Times New Roman" w:eastAsia="Times New Roman" w:hAnsi="Times New Roman" w:cs="Times New Roman"/>
          <w:color w:val="221E1F"/>
          <w:sz w:val="24"/>
          <w:szCs w:val="24"/>
        </w:rPr>
        <w:t xml:space="preserve">. </w:t>
      </w:r>
      <w:r w:rsidR="00591443" w:rsidRPr="00591443">
        <w:rPr>
          <w:rFonts w:ascii="Times New Roman" w:eastAsia="Times New Roman" w:hAnsi="Times New Roman" w:cs="Times New Roman"/>
          <w:color w:val="221E1F"/>
          <w:sz w:val="24"/>
          <w:szCs w:val="24"/>
        </w:rPr>
        <w:t xml:space="preserve"> </w:t>
      </w:r>
    </w:p>
    <w:p w:rsidR="007165BF" w:rsidRPr="003A59C0" w:rsidRDefault="007165BF" w:rsidP="007165BF">
      <w:pPr>
        <w:spacing w:after="0"/>
        <w:jc w:val="both"/>
        <w:rPr>
          <w:rFonts w:ascii="Times New Roman" w:eastAsia="Times New Roman" w:hAnsi="Times New Roman" w:cs="Times New Roman"/>
          <w:sz w:val="24"/>
          <w:szCs w:val="24"/>
        </w:rPr>
      </w:pPr>
      <w:r w:rsidRPr="003A59C0">
        <w:rPr>
          <w:rFonts w:ascii="Times New Roman" w:eastAsia="Times New Roman" w:hAnsi="Times New Roman" w:cs="Times New Roman"/>
          <w:b/>
          <w:sz w:val="24"/>
          <w:szCs w:val="24"/>
        </w:rPr>
        <w:t>Graph 1.</w:t>
      </w:r>
      <w:r w:rsidRPr="003A59C0">
        <w:rPr>
          <w:rFonts w:ascii="Times New Roman" w:eastAsia="Times New Roman" w:hAnsi="Times New Roman" w:cs="Times New Roman"/>
          <w:sz w:val="24"/>
          <w:szCs w:val="24"/>
        </w:rPr>
        <w:t xml:space="preserve"> Internal quality assurance procedures</w:t>
      </w:r>
    </w:p>
    <w:p w:rsidR="007165BF" w:rsidRPr="003A59C0" w:rsidRDefault="007165BF" w:rsidP="007165BF">
      <w:pPr>
        <w:spacing w:after="0"/>
        <w:jc w:val="both"/>
        <w:rPr>
          <w:rFonts w:ascii="Times New Roman" w:eastAsia="Times New Roman" w:hAnsi="Times New Roman" w:cs="Times New Roman"/>
          <w:sz w:val="24"/>
          <w:szCs w:val="24"/>
        </w:rPr>
      </w:pPr>
      <w:r w:rsidRPr="003A59C0">
        <w:rPr>
          <w:rFonts w:ascii="Times New Roman" w:eastAsia="Times New Roman" w:hAnsi="Times New Roman" w:cs="Times New Roman"/>
          <w:sz w:val="24"/>
          <w:szCs w:val="24"/>
        </w:rPr>
        <w:t xml:space="preserve"> </w:t>
      </w:r>
      <w:r w:rsidRPr="003A59C0">
        <w:rPr>
          <w:rFonts w:ascii="Times New Roman" w:eastAsia="Times New Roman" w:hAnsi="Times New Roman" w:cs="Times New Roman"/>
          <w:noProof/>
          <w:sz w:val="24"/>
          <w:szCs w:val="24"/>
          <w:lang w:eastAsia="en-GB"/>
        </w:rPr>
        <w:drawing>
          <wp:inline distT="0" distB="0" distL="0" distR="0" wp14:anchorId="49567275" wp14:editId="1471CF45">
            <wp:extent cx="5724525" cy="3438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o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3438525"/>
                    </a:xfrm>
                    <a:prstGeom prst="rect">
                      <a:avLst/>
                    </a:prstGeom>
                    <a:noFill/>
                    <a:ln>
                      <a:noFill/>
                    </a:ln>
                  </pic:spPr>
                </pic:pic>
              </a:graphicData>
            </a:graphic>
          </wp:inline>
        </w:drawing>
      </w:r>
    </w:p>
    <w:p w:rsidR="007165BF" w:rsidRDefault="007165BF" w:rsidP="007165BF">
      <w:pPr>
        <w:spacing w:after="0"/>
        <w:jc w:val="both"/>
        <w:rPr>
          <w:rFonts w:ascii="Times New Roman" w:eastAsia="Times New Roman" w:hAnsi="Times New Roman" w:cs="Times New Roman"/>
          <w:sz w:val="24"/>
          <w:szCs w:val="24"/>
        </w:rPr>
      </w:pPr>
      <w:r w:rsidRPr="003A59C0">
        <w:rPr>
          <w:rFonts w:ascii="Times New Roman" w:eastAsia="Times New Roman" w:hAnsi="Times New Roman" w:cs="Times New Roman"/>
          <w:sz w:val="24"/>
          <w:szCs w:val="24"/>
        </w:rPr>
        <w:t>Note: 1 – strongly agree, 5 – strongly disagree</w:t>
      </w:r>
    </w:p>
    <w:p w:rsidR="00591443" w:rsidRDefault="00591443" w:rsidP="007165BF">
      <w:pPr>
        <w:spacing w:after="0"/>
        <w:jc w:val="both"/>
        <w:rPr>
          <w:rFonts w:ascii="Times New Roman" w:eastAsia="Times New Roman" w:hAnsi="Times New Roman" w:cs="Times New Roman"/>
          <w:sz w:val="24"/>
          <w:szCs w:val="24"/>
        </w:rPr>
      </w:pPr>
    </w:p>
    <w:p w:rsidR="004A2E58" w:rsidRDefault="004A2E58" w:rsidP="007165BF">
      <w:pPr>
        <w:spacing w:after="0"/>
        <w:jc w:val="both"/>
        <w:rPr>
          <w:rFonts w:ascii="Times New Roman" w:eastAsia="Times New Roman" w:hAnsi="Times New Roman" w:cs="Times New Roman"/>
          <w:sz w:val="24"/>
          <w:szCs w:val="24"/>
        </w:rPr>
      </w:pPr>
    </w:p>
    <w:p w:rsidR="004A2E58" w:rsidRDefault="004A2E58" w:rsidP="007165BF">
      <w:pPr>
        <w:spacing w:after="0"/>
        <w:jc w:val="both"/>
        <w:rPr>
          <w:rFonts w:ascii="Times New Roman" w:eastAsia="Times New Roman" w:hAnsi="Times New Roman" w:cs="Times New Roman"/>
          <w:sz w:val="24"/>
          <w:szCs w:val="24"/>
        </w:rPr>
      </w:pPr>
    </w:p>
    <w:p w:rsidR="00122A5D" w:rsidRDefault="00122A5D" w:rsidP="007165BF">
      <w:pPr>
        <w:spacing w:after="0"/>
        <w:jc w:val="both"/>
        <w:rPr>
          <w:rFonts w:ascii="Times New Roman" w:eastAsia="Times New Roman" w:hAnsi="Times New Roman" w:cs="Times New Roman"/>
          <w:sz w:val="24"/>
          <w:szCs w:val="24"/>
        </w:rPr>
      </w:pPr>
    </w:p>
    <w:p w:rsidR="004A2E58" w:rsidRPr="003A59C0" w:rsidRDefault="004A2E58" w:rsidP="007165BF">
      <w:pPr>
        <w:spacing w:after="0"/>
        <w:jc w:val="both"/>
        <w:rPr>
          <w:rFonts w:ascii="Times New Roman" w:eastAsia="Times New Roman" w:hAnsi="Times New Roman" w:cs="Times New Roman"/>
          <w:sz w:val="24"/>
          <w:szCs w:val="24"/>
        </w:rPr>
      </w:pPr>
    </w:p>
    <w:p w:rsidR="007165BF" w:rsidRPr="003A59C0" w:rsidRDefault="00591443" w:rsidP="007165BF">
      <w:pPr>
        <w:spacing w:after="0"/>
        <w:jc w:val="both"/>
        <w:rPr>
          <w:rFonts w:ascii="Times New Roman" w:eastAsia="Times New Roman" w:hAnsi="Times New Roman" w:cs="Times New Roman"/>
          <w:color w:val="221E1F"/>
          <w:sz w:val="24"/>
          <w:szCs w:val="24"/>
        </w:rPr>
      </w:pPr>
      <w:r w:rsidRPr="00591443">
        <w:rPr>
          <w:rFonts w:ascii="Times New Roman" w:eastAsia="Times New Roman" w:hAnsi="Times New Roman" w:cs="Times New Roman"/>
          <w:color w:val="221E1F"/>
          <w:sz w:val="24"/>
          <w:szCs w:val="24"/>
        </w:rPr>
        <w:t>Graph 2. Reforms of the governance structure and financing</w:t>
      </w:r>
    </w:p>
    <w:p w:rsidR="00591443" w:rsidRDefault="00591443" w:rsidP="007165BF">
      <w:pPr>
        <w:spacing w:after="0"/>
        <w:jc w:val="both"/>
        <w:rPr>
          <w:rFonts w:ascii="Times New Roman" w:eastAsia="Times New Roman" w:hAnsi="Times New Roman" w:cs="Times New Roman"/>
          <w:color w:val="221E1F"/>
          <w:sz w:val="24"/>
          <w:szCs w:val="24"/>
        </w:rPr>
      </w:pPr>
      <w:r>
        <w:rPr>
          <w:rFonts w:ascii="Times New Roman" w:eastAsia="Times New Roman" w:hAnsi="Times New Roman" w:cs="Times New Roman"/>
          <w:noProof/>
          <w:color w:val="221E1F"/>
          <w:sz w:val="24"/>
          <w:szCs w:val="24"/>
          <w:lang w:eastAsia="en-GB"/>
        </w:rPr>
        <w:drawing>
          <wp:inline distT="0" distB="0" distL="0" distR="0" wp14:anchorId="37906E8A">
            <wp:extent cx="5724525" cy="34569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456940"/>
                    </a:xfrm>
                    <a:prstGeom prst="rect">
                      <a:avLst/>
                    </a:prstGeom>
                    <a:noFill/>
                  </pic:spPr>
                </pic:pic>
              </a:graphicData>
            </a:graphic>
          </wp:inline>
        </w:drawing>
      </w:r>
    </w:p>
    <w:p w:rsidR="00591443" w:rsidRDefault="00591443" w:rsidP="007165BF">
      <w:pPr>
        <w:spacing w:after="0"/>
        <w:jc w:val="both"/>
        <w:rPr>
          <w:rFonts w:ascii="Times New Roman" w:eastAsia="Times New Roman" w:hAnsi="Times New Roman" w:cs="Times New Roman"/>
          <w:color w:val="221E1F"/>
          <w:sz w:val="24"/>
          <w:szCs w:val="24"/>
        </w:rPr>
      </w:pPr>
      <w:r w:rsidRPr="00591443">
        <w:rPr>
          <w:rFonts w:ascii="Times New Roman" w:eastAsia="Times New Roman" w:hAnsi="Times New Roman" w:cs="Times New Roman"/>
          <w:color w:val="221E1F"/>
          <w:sz w:val="24"/>
          <w:szCs w:val="24"/>
        </w:rPr>
        <w:t>Note: 1 – strongly agree, 5 – strongly disagree</w:t>
      </w:r>
    </w:p>
    <w:p w:rsidR="00ED0607" w:rsidRPr="003A59C0" w:rsidRDefault="0088437A" w:rsidP="006E008A">
      <w:pPr>
        <w:pStyle w:val="Heading1"/>
        <w:jc w:val="both"/>
        <w:rPr>
          <w:rFonts w:ascii="Times New Roman" w:eastAsia="Times New Roman" w:hAnsi="Times New Roman" w:cs="Times New Roman"/>
          <w:sz w:val="24"/>
          <w:szCs w:val="24"/>
        </w:rPr>
      </w:pPr>
      <w:r w:rsidRPr="003A59C0">
        <w:rPr>
          <w:rFonts w:ascii="Times New Roman" w:eastAsia="Times New Roman" w:hAnsi="Times New Roman" w:cs="Times New Roman"/>
          <w:sz w:val="24"/>
          <w:szCs w:val="24"/>
        </w:rPr>
        <w:t>Conclusion</w:t>
      </w:r>
      <w:r w:rsidR="003D087D" w:rsidRPr="003A59C0">
        <w:rPr>
          <w:rFonts w:ascii="Times New Roman" w:eastAsia="Times New Roman" w:hAnsi="Times New Roman" w:cs="Times New Roman"/>
          <w:sz w:val="24"/>
          <w:szCs w:val="24"/>
        </w:rPr>
        <w:t xml:space="preserve"> </w:t>
      </w:r>
    </w:p>
    <w:p w:rsidR="00B84DCC" w:rsidRPr="003A59C0" w:rsidRDefault="00C64272" w:rsidP="00694B33">
      <w:pPr>
        <w:spacing w:after="0"/>
        <w:jc w:val="both"/>
        <w:rPr>
          <w:rFonts w:ascii="Times New Roman" w:eastAsia="Times New Roman" w:hAnsi="Times New Roman" w:cs="Times New Roman"/>
          <w:color w:val="221E1F"/>
          <w:sz w:val="24"/>
          <w:szCs w:val="24"/>
        </w:rPr>
      </w:pPr>
      <w:r w:rsidRPr="003A59C0">
        <w:rPr>
          <w:rFonts w:ascii="Times New Roman" w:eastAsia="Times New Roman" w:hAnsi="Times New Roman" w:cs="Times New Roman"/>
          <w:color w:val="221E1F"/>
          <w:sz w:val="24"/>
          <w:szCs w:val="24"/>
        </w:rPr>
        <w:t xml:space="preserve">The </w:t>
      </w:r>
      <w:r w:rsidR="00241CF0" w:rsidRPr="003A59C0">
        <w:rPr>
          <w:rFonts w:ascii="Times New Roman" w:eastAsia="Times New Roman" w:hAnsi="Times New Roman" w:cs="Times New Roman"/>
          <w:color w:val="221E1F"/>
          <w:sz w:val="24"/>
          <w:szCs w:val="24"/>
        </w:rPr>
        <w:t>empirical evidence presented above testifies that the EU influence is significantly stronger in the two countries that given their membership-status work under “shadow of hierarchy” (</w:t>
      </w:r>
      <w:r w:rsidR="006927BB" w:rsidRPr="003A59C0">
        <w:rPr>
          <w:rFonts w:ascii="Times New Roman" w:eastAsia="Times New Roman" w:hAnsi="Times New Roman" w:cs="Times New Roman"/>
          <w:color w:val="221E1F"/>
          <w:sz w:val="24"/>
          <w:szCs w:val="24"/>
        </w:rPr>
        <w:t>Börzel</w:t>
      </w:r>
      <w:r w:rsidR="00241CF0" w:rsidRPr="003A59C0">
        <w:rPr>
          <w:rFonts w:ascii="Times New Roman" w:eastAsia="Times New Roman" w:hAnsi="Times New Roman" w:cs="Times New Roman"/>
          <w:color w:val="221E1F"/>
          <w:sz w:val="24"/>
          <w:szCs w:val="24"/>
        </w:rPr>
        <w:t xml:space="preserve"> and Risse 2012). </w:t>
      </w:r>
      <w:r w:rsidR="00047DE8" w:rsidRPr="003A59C0">
        <w:rPr>
          <w:rFonts w:ascii="Times New Roman" w:eastAsia="Times New Roman" w:hAnsi="Times New Roman" w:cs="Times New Roman"/>
          <w:color w:val="221E1F"/>
          <w:sz w:val="24"/>
          <w:szCs w:val="24"/>
        </w:rPr>
        <w:t xml:space="preserve">As pointed out by </w:t>
      </w:r>
      <w:r w:rsidR="0088437A" w:rsidRPr="003A59C0">
        <w:rPr>
          <w:rFonts w:ascii="Times New Roman" w:eastAsia="Times New Roman" w:hAnsi="Times New Roman" w:cs="Times New Roman"/>
          <w:color w:val="221E1F"/>
          <w:sz w:val="24"/>
          <w:szCs w:val="24"/>
        </w:rPr>
        <w:t>Börzel</w:t>
      </w:r>
      <w:r w:rsidR="00047DE8" w:rsidRPr="003A59C0">
        <w:rPr>
          <w:rFonts w:ascii="Times New Roman" w:eastAsia="Times New Roman" w:hAnsi="Times New Roman" w:cs="Times New Roman"/>
          <w:color w:val="221E1F"/>
          <w:sz w:val="24"/>
          <w:szCs w:val="24"/>
        </w:rPr>
        <w:t xml:space="preserve"> and Risse (2012, 195), membership Europeanisation works through harmonising national legislation with </w:t>
      </w:r>
      <w:r w:rsidR="00047DE8" w:rsidRPr="003A59C0">
        <w:rPr>
          <w:rFonts w:ascii="Times New Roman" w:eastAsia="Times New Roman" w:hAnsi="Times New Roman" w:cs="Times New Roman"/>
          <w:i/>
          <w:color w:val="221E1F"/>
          <w:sz w:val="24"/>
          <w:szCs w:val="24"/>
        </w:rPr>
        <w:t>acquis communautaire</w:t>
      </w:r>
      <w:r w:rsidR="00047DE8" w:rsidRPr="003A59C0">
        <w:rPr>
          <w:rFonts w:ascii="Times New Roman" w:eastAsia="Times New Roman" w:hAnsi="Times New Roman" w:cs="Times New Roman"/>
          <w:color w:val="221E1F"/>
          <w:sz w:val="24"/>
          <w:szCs w:val="24"/>
        </w:rPr>
        <w:t xml:space="preserve">, but also through arenas for socialisation and persuasion. </w:t>
      </w:r>
      <w:r w:rsidR="00F82A4A" w:rsidRPr="003A59C0">
        <w:rPr>
          <w:rFonts w:ascii="Times New Roman" w:eastAsia="Times New Roman" w:hAnsi="Times New Roman" w:cs="Times New Roman"/>
          <w:color w:val="221E1F"/>
          <w:sz w:val="24"/>
          <w:szCs w:val="24"/>
        </w:rPr>
        <w:t xml:space="preserve">By participating in the Council and Commission working groups, Slovenia and Croatia are clearly more socialised into the EU policy processes, and thus more susceptible to the persuasion effort of the EC. </w:t>
      </w:r>
      <w:r w:rsidR="00047DE8" w:rsidRPr="003A59C0">
        <w:rPr>
          <w:rFonts w:ascii="Times New Roman" w:eastAsia="Times New Roman" w:hAnsi="Times New Roman" w:cs="Times New Roman"/>
          <w:color w:val="221E1F"/>
          <w:sz w:val="24"/>
          <w:szCs w:val="24"/>
        </w:rPr>
        <w:t xml:space="preserve">The HE systems in these two countries are closer aligned to the average EU model for which the EC was drafting the recommendations. </w:t>
      </w:r>
      <w:r w:rsidR="00F82A4A" w:rsidRPr="003A59C0">
        <w:rPr>
          <w:rFonts w:ascii="Times New Roman" w:eastAsia="Times New Roman" w:hAnsi="Times New Roman" w:cs="Times New Roman"/>
          <w:color w:val="221E1F"/>
          <w:sz w:val="24"/>
          <w:szCs w:val="24"/>
        </w:rPr>
        <w:t xml:space="preserve">Both </w:t>
      </w:r>
      <w:r w:rsidR="00241CF0" w:rsidRPr="003A59C0">
        <w:rPr>
          <w:rFonts w:ascii="Times New Roman" w:eastAsia="Times New Roman" w:hAnsi="Times New Roman" w:cs="Times New Roman"/>
          <w:color w:val="221E1F"/>
          <w:sz w:val="24"/>
          <w:szCs w:val="24"/>
        </w:rPr>
        <w:t>have be</w:t>
      </w:r>
      <w:r w:rsidR="00F82A4A" w:rsidRPr="003A59C0">
        <w:rPr>
          <w:rFonts w:ascii="Times New Roman" w:eastAsia="Times New Roman" w:hAnsi="Times New Roman" w:cs="Times New Roman"/>
          <w:color w:val="221E1F"/>
          <w:sz w:val="24"/>
          <w:szCs w:val="24"/>
        </w:rPr>
        <w:t>low</w:t>
      </w:r>
      <w:r w:rsidR="00241CF0" w:rsidRPr="003A59C0">
        <w:rPr>
          <w:rFonts w:ascii="Times New Roman" w:eastAsia="Times New Roman" w:hAnsi="Times New Roman" w:cs="Times New Roman"/>
          <w:color w:val="221E1F"/>
          <w:sz w:val="24"/>
          <w:szCs w:val="24"/>
        </w:rPr>
        <w:t xml:space="preserve"> average investment into HE, but not significantly lower. </w:t>
      </w:r>
      <w:r w:rsidR="00F82A4A" w:rsidRPr="003A59C0">
        <w:rPr>
          <w:rFonts w:ascii="Times New Roman" w:eastAsia="Times New Roman" w:hAnsi="Times New Roman" w:cs="Times New Roman"/>
          <w:color w:val="221E1F"/>
          <w:sz w:val="24"/>
          <w:szCs w:val="24"/>
        </w:rPr>
        <w:t>Both</w:t>
      </w:r>
      <w:r w:rsidR="00241CF0" w:rsidRPr="003A59C0">
        <w:rPr>
          <w:rFonts w:ascii="Times New Roman" w:eastAsia="Times New Roman" w:hAnsi="Times New Roman" w:cs="Times New Roman"/>
          <w:color w:val="221E1F"/>
          <w:sz w:val="24"/>
          <w:szCs w:val="24"/>
        </w:rPr>
        <w:t xml:space="preserve"> are coping with slowly, but surely declining student numbers. In other words, their HE systems are </w:t>
      </w:r>
      <w:r w:rsidR="00F82A4A" w:rsidRPr="003A59C0">
        <w:rPr>
          <w:rFonts w:ascii="Times New Roman" w:eastAsia="Times New Roman" w:hAnsi="Times New Roman" w:cs="Times New Roman"/>
          <w:color w:val="221E1F"/>
          <w:sz w:val="24"/>
          <w:szCs w:val="24"/>
        </w:rPr>
        <w:t>–</w:t>
      </w:r>
      <w:r w:rsidR="00241CF0" w:rsidRPr="003A59C0">
        <w:rPr>
          <w:rFonts w:ascii="Times New Roman" w:eastAsia="Times New Roman" w:hAnsi="Times New Roman" w:cs="Times New Roman"/>
          <w:color w:val="221E1F"/>
          <w:sz w:val="24"/>
          <w:szCs w:val="24"/>
        </w:rPr>
        <w:t xml:space="preserve"> broadly</w:t>
      </w:r>
      <w:r w:rsidR="00F82A4A" w:rsidRPr="003A59C0">
        <w:rPr>
          <w:rFonts w:ascii="Times New Roman" w:eastAsia="Times New Roman" w:hAnsi="Times New Roman" w:cs="Times New Roman"/>
          <w:color w:val="221E1F"/>
          <w:sz w:val="24"/>
          <w:szCs w:val="24"/>
        </w:rPr>
        <w:t xml:space="preserve"> -</w:t>
      </w:r>
      <w:r w:rsidR="00241CF0" w:rsidRPr="003A59C0">
        <w:rPr>
          <w:rFonts w:ascii="Times New Roman" w:eastAsia="Times New Roman" w:hAnsi="Times New Roman" w:cs="Times New Roman"/>
          <w:color w:val="221E1F"/>
          <w:sz w:val="24"/>
          <w:szCs w:val="24"/>
        </w:rPr>
        <w:t xml:space="preserve"> in the stage of development where they have the </w:t>
      </w:r>
      <w:r w:rsidR="00F82A4A" w:rsidRPr="003A59C0">
        <w:rPr>
          <w:rFonts w:ascii="Times New Roman" w:eastAsia="Times New Roman" w:hAnsi="Times New Roman" w:cs="Times New Roman"/>
          <w:color w:val="221E1F"/>
          <w:sz w:val="24"/>
          <w:szCs w:val="24"/>
        </w:rPr>
        <w:t>necessary</w:t>
      </w:r>
      <w:r w:rsidR="00241CF0" w:rsidRPr="003A59C0">
        <w:rPr>
          <w:rFonts w:ascii="Times New Roman" w:eastAsia="Times New Roman" w:hAnsi="Times New Roman" w:cs="Times New Roman"/>
          <w:color w:val="221E1F"/>
          <w:sz w:val="24"/>
          <w:szCs w:val="24"/>
        </w:rPr>
        <w:t xml:space="preserve"> capacity</w:t>
      </w:r>
      <w:r w:rsidR="00F82A4A" w:rsidRPr="003A59C0">
        <w:rPr>
          <w:rFonts w:ascii="Times New Roman" w:eastAsia="Times New Roman" w:hAnsi="Times New Roman" w:cs="Times New Roman"/>
          <w:color w:val="221E1F"/>
          <w:sz w:val="24"/>
          <w:szCs w:val="24"/>
        </w:rPr>
        <w:t xml:space="preserve"> - if also a political will - to adopt</w:t>
      </w:r>
      <w:r w:rsidR="00241CF0" w:rsidRPr="003A59C0">
        <w:rPr>
          <w:rFonts w:ascii="Times New Roman" w:eastAsia="Times New Roman" w:hAnsi="Times New Roman" w:cs="Times New Roman"/>
          <w:color w:val="221E1F"/>
          <w:sz w:val="24"/>
          <w:szCs w:val="24"/>
        </w:rPr>
        <w:t xml:space="preserve"> </w:t>
      </w:r>
      <w:r w:rsidR="00F82A4A" w:rsidRPr="003A59C0">
        <w:rPr>
          <w:rFonts w:ascii="Times New Roman" w:eastAsia="Times New Roman" w:hAnsi="Times New Roman" w:cs="Times New Roman"/>
          <w:color w:val="221E1F"/>
          <w:sz w:val="24"/>
          <w:szCs w:val="24"/>
        </w:rPr>
        <w:t xml:space="preserve">the </w:t>
      </w:r>
      <w:r w:rsidR="00241CF0" w:rsidRPr="003A59C0">
        <w:rPr>
          <w:rFonts w:ascii="Times New Roman" w:eastAsia="Times New Roman" w:hAnsi="Times New Roman" w:cs="Times New Roman"/>
          <w:color w:val="221E1F"/>
          <w:sz w:val="24"/>
          <w:szCs w:val="24"/>
        </w:rPr>
        <w:t>recommendations. By comparison, Serbia and Albania are still in the situation where policies reflect the prevailing need to absorb the growing student demand. (The same concern could be found in Slovenia and Croatia in the earlier policy documents from late 1990ies and early 2000).</w:t>
      </w:r>
      <w:r w:rsidR="00A6723C" w:rsidRPr="003A59C0">
        <w:rPr>
          <w:rFonts w:ascii="Times New Roman" w:eastAsia="Times New Roman" w:hAnsi="Times New Roman" w:cs="Times New Roman"/>
          <w:color w:val="221E1F"/>
          <w:sz w:val="24"/>
          <w:szCs w:val="24"/>
        </w:rPr>
        <w:t xml:space="preserve"> </w:t>
      </w:r>
      <w:r w:rsidR="00F82A4A" w:rsidRPr="003A59C0">
        <w:rPr>
          <w:rFonts w:ascii="Times New Roman" w:eastAsia="Times New Roman" w:hAnsi="Times New Roman" w:cs="Times New Roman"/>
          <w:color w:val="221E1F"/>
          <w:sz w:val="24"/>
          <w:szCs w:val="24"/>
        </w:rPr>
        <w:t>Accordingly, t</w:t>
      </w:r>
      <w:r w:rsidR="00A6723C" w:rsidRPr="003A59C0">
        <w:rPr>
          <w:rFonts w:ascii="Times New Roman" w:eastAsia="Times New Roman" w:hAnsi="Times New Roman" w:cs="Times New Roman"/>
          <w:color w:val="221E1F"/>
          <w:sz w:val="24"/>
          <w:szCs w:val="24"/>
        </w:rPr>
        <w:t xml:space="preserve">he salient policy issues </w:t>
      </w:r>
      <w:r w:rsidR="00F82A4A" w:rsidRPr="003A59C0">
        <w:rPr>
          <w:rFonts w:ascii="Times New Roman" w:eastAsia="Times New Roman" w:hAnsi="Times New Roman" w:cs="Times New Roman"/>
          <w:color w:val="221E1F"/>
          <w:sz w:val="24"/>
          <w:szCs w:val="24"/>
        </w:rPr>
        <w:t xml:space="preserve">for Serbian and Albanian policy-makers </w:t>
      </w:r>
      <w:r w:rsidR="00A6723C" w:rsidRPr="003A59C0">
        <w:rPr>
          <w:rFonts w:ascii="Times New Roman" w:eastAsia="Times New Roman" w:hAnsi="Times New Roman" w:cs="Times New Roman"/>
          <w:color w:val="221E1F"/>
          <w:sz w:val="24"/>
          <w:szCs w:val="24"/>
        </w:rPr>
        <w:t>are those of allowing for new providers to absorb the demand, to ensure the quality when student numbers are increasing</w:t>
      </w:r>
      <w:r w:rsidR="006927BB" w:rsidRPr="003A59C0">
        <w:rPr>
          <w:rFonts w:ascii="Times New Roman" w:eastAsia="Times New Roman" w:hAnsi="Times New Roman" w:cs="Times New Roman"/>
          <w:color w:val="221E1F"/>
          <w:sz w:val="24"/>
          <w:szCs w:val="24"/>
        </w:rPr>
        <w:t>, to reform HE governance</w:t>
      </w:r>
      <w:r w:rsidR="00A6723C" w:rsidRPr="003A59C0">
        <w:rPr>
          <w:rFonts w:ascii="Times New Roman" w:eastAsia="Times New Roman" w:hAnsi="Times New Roman" w:cs="Times New Roman"/>
          <w:color w:val="221E1F"/>
          <w:sz w:val="24"/>
          <w:szCs w:val="24"/>
        </w:rPr>
        <w:t xml:space="preserve"> </w:t>
      </w:r>
      <w:r w:rsidR="006927BB" w:rsidRPr="003A59C0">
        <w:rPr>
          <w:rFonts w:ascii="Times New Roman" w:eastAsia="Times New Roman" w:hAnsi="Times New Roman" w:cs="Times New Roman"/>
          <w:color w:val="221E1F"/>
          <w:sz w:val="24"/>
          <w:szCs w:val="24"/>
        </w:rPr>
        <w:t xml:space="preserve">to ensure better decision-making </w:t>
      </w:r>
      <w:r w:rsidR="00A6723C" w:rsidRPr="003A59C0">
        <w:rPr>
          <w:rFonts w:ascii="Times New Roman" w:eastAsia="Times New Roman" w:hAnsi="Times New Roman" w:cs="Times New Roman"/>
          <w:color w:val="221E1F"/>
          <w:sz w:val="24"/>
          <w:szCs w:val="24"/>
        </w:rPr>
        <w:t>and to reform funding systems to enable access.</w:t>
      </w:r>
      <w:r w:rsidR="00E95E52" w:rsidRPr="003A59C0">
        <w:rPr>
          <w:rFonts w:ascii="Times New Roman" w:eastAsia="Times New Roman" w:hAnsi="Times New Roman" w:cs="Times New Roman"/>
          <w:color w:val="221E1F"/>
          <w:sz w:val="24"/>
          <w:szCs w:val="24"/>
        </w:rPr>
        <w:t xml:space="preserve"> </w:t>
      </w:r>
      <w:r w:rsidR="006927BB" w:rsidRPr="003A59C0">
        <w:rPr>
          <w:rFonts w:ascii="Times New Roman" w:eastAsia="Times New Roman" w:hAnsi="Times New Roman" w:cs="Times New Roman"/>
          <w:color w:val="221E1F"/>
          <w:sz w:val="24"/>
          <w:szCs w:val="24"/>
        </w:rPr>
        <w:t xml:space="preserve">The EU funded projects </w:t>
      </w:r>
      <w:r w:rsidR="00F82A4A" w:rsidRPr="003A59C0">
        <w:rPr>
          <w:rFonts w:ascii="Times New Roman" w:eastAsia="Times New Roman" w:hAnsi="Times New Roman" w:cs="Times New Roman"/>
          <w:color w:val="221E1F"/>
          <w:sz w:val="24"/>
          <w:szCs w:val="24"/>
        </w:rPr>
        <w:t xml:space="preserve">in the area of HE reforms (through Tempus especially) </w:t>
      </w:r>
      <w:r w:rsidR="006927BB" w:rsidRPr="003A59C0">
        <w:rPr>
          <w:rFonts w:ascii="Times New Roman" w:eastAsia="Times New Roman" w:hAnsi="Times New Roman" w:cs="Times New Roman"/>
          <w:color w:val="221E1F"/>
          <w:sz w:val="24"/>
          <w:szCs w:val="24"/>
        </w:rPr>
        <w:t xml:space="preserve">have to a great extent focused on </w:t>
      </w:r>
      <w:r w:rsidR="00F82A4A" w:rsidRPr="003A59C0">
        <w:rPr>
          <w:rFonts w:ascii="Times New Roman" w:eastAsia="Times New Roman" w:hAnsi="Times New Roman" w:cs="Times New Roman"/>
          <w:color w:val="221E1F"/>
          <w:sz w:val="24"/>
          <w:szCs w:val="24"/>
        </w:rPr>
        <w:t>capacity-building in these areas</w:t>
      </w:r>
      <w:r w:rsidR="002D15B0">
        <w:rPr>
          <w:rFonts w:ascii="Times New Roman" w:eastAsia="Times New Roman" w:hAnsi="Times New Roman" w:cs="Times New Roman"/>
          <w:color w:val="221E1F"/>
          <w:sz w:val="24"/>
          <w:szCs w:val="24"/>
        </w:rPr>
        <w:t xml:space="preserve"> (Zgaga 2008)</w:t>
      </w:r>
      <w:r w:rsidR="0088437A" w:rsidRPr="003A59C0">
        <w:rPr>
          <w:rFonts w:ascii="Times New Roman" w:eastAsia="Times New Roman" w:hAnsi="Times New Roman" w:cs="Times New Roman"/>
          <w:color w:val="221E1F"/>
          <w:sz w:val="24"/>
          <w:szCs w:val="24"/>
        </w:rPr>
        <w:t>; and so did political dialogue and technical cooperation (i.e. socialisation).</w:t>
      </w:r>
    </w:p>
    <w:p w:rsidR="0072247C" w:rsidRPr="003A59C0" w:rsidRDefault="0072247C" w:rsidP="00E06BA1">
      <w:pPr>
        <w:spacing w:after="0"/>
        <w:jc w:val="both"/>
        <w:rPr>
          <w:rFonts w:ascii="Times New Roman" w:eastAsia="Times New Roman" w:hAnsi="Times New Roman" w:cs="Times New Roman"/>
          <w:color w:val="221E1F"/>
          <w:sz w:val="24"/>
          <w:szCs w:val="24"/>
        </w:rPr>
      </w:pPr>
    </w:p>
    <w:p w:rsidR="00E06BA1" w:rsidRDefault="00F82A4A" w:rsidP="00E06BA1">
      <w:pPr>
        <w:spacing w:after="0"/>
        <w:jc w:val="both"/>
        <w:rPr>
          <w:rFonts w:ascii="Times New Roman" w:eastAsia="Times New Roman" w:hAnsi="Times New Roman" w:cs="Times New Roman"/>
          <w:color w:val="221E1F"/>
          <w:sz w:val="24"/>
          <w:szCs w:val="24"/>
        </w:rPr>
      </w:pPr>
      <w:r w:rsidRPr="003A59C0">
        <w:rPr>
          <w:rFonts w:ascii="Times New Roman" w:eastAsia="Times New Roman" w:hAnsi="Times New Roman" w:cs="Times New Roman"/>
          <w:color w:val="221E1F"/>
          <w:sz w:val="24"/>
          <w:szCs w:val="24"/>
        </w:rPr>
        <w:t xml:space="preserve">As mentioned in the introduction, EU’s modernisation agenda is </w:t>
      </w:r>
      <w:r w:rsidR="002F62F5" w:rsidRPr="003A59C0">
        <w:rPr>
          <w:rFonts w:ascii="Times New Roman" w:eastAsia="Times New Roman" w:hAnsi="Times New Roman" w:cs="Times New Roman"/>
          <w:color w:val="221E1F"/>
          <w:sz w:val="24"/>
          <w:szCs w:val="24"/>
        </w:rPr>
        <w:t xml:space="preserve">based on </w:t>
      </w:r>
      <w:r w:rsidRPr="003A59C0">
        <w:rPr>
          <w:rFonts w:ascii="Times New Roman" w:eastAsia="Times New Roman" w:hAnsi="Times New Roman" w:cs="Times New Roman"/>
          <w:color w:val="221E1F"/>
          <w:sz w:val="24"/>
          <w:szCs w:val="24"/>
        </w:rPr>
        <w:t xml:space="preserve">voluntary </w:t>
      </w:r>
      <w:r w:rsidR="002F62F5" w:rsidRPr="003A59C0">
        <w:rPr>
          <w:rFonts w:ascii="Times New Roman" w:eastAsia="Times New Roman" w:hAnsi="Times New Roman" w:cs="Times New Roman"/>
          <w:color w:val="221E1F"/>
          <w:sz w:val="24"/>
          <w:szCs w:val="24"/>
        </w:rPr>
        <w:t xml:space="preserve">cooperation and </w:t>
      </w:r>
      <w:r w:rsidRPr="003A59C0">
        <w:rPr>
          <w:rFonts w:ascii="Times New Roman" w:eastAsia="Times New Roman" w:hAnsi="Times New Roman" w:cs="Times New Roman"/>
          <w:color w:val="221E1F"/>
          <w:sz w:val="24"/>
          <w:szCs w:val="24"/>
        </w:rPr>
        <w:t>does not fall with</w:t>
      </w:r>
      <w:r w:rsidR="002F62F5" w:rsidRPr="003A59C0">
        <w:rPr>
          <w:rFonts w:ascii="Times New Roman" w:eastAsia="Times New Roman" w:hAnsi="Times New Roman" w:cs="Times New Roman"/>
          <w:color w:val="221E1F"/>
          <w:sz w:val="24"/>
          <w:szCs w:val="24"/>
        </w:rPr>
        <w:t xml:space="preserve">in the legal accession conditionality. Hence, persuasion and incentive-based mechanisms prevail. Various EU funding programmes earmarked for HE reforms provide such incentives; yet these have so far not been </w:t>
      </w:r>
      <w:r w:rsidR="002D15B0">
        <w:rPr>
          <w:rFonts w:ascii="Times New Roman" w:eastAsia="Times New Roman" w:hAnsi="Times New Roman" w:cs="Times New Roman"/>
          <w:color w:val="221E1F"/>
          <w:sz w:val="24"/>
          <w:szCs w:val="24"/>
        </w:rPr>
        <w:t xml:space="preserve">much </w:t>
      </w:r>
      <w:r w:rsidR="002F62F5" w:rsidRPr="003A59C0">
        <w:rPr>
          <w:rFonts w:ascii="Times New Roman" w:eastAsia="Times New Roman" w:hAnsi="Times New Roman" w:cs="Times New Roman"/>
          <w:color w:val="221E1F"/>
          <w:sz w:val="24"/>
          <w:szCs w:val="24"/>
        </w:rPr>
        <w:t xml:space="preserve">directed at institutional diversification. Arguably, </w:t>
      </w:r>
      <w:r w:rsidR="002D15B0">
        <w:rPr>
          <w:rFonts w:ascii="Times New Roman" w:eastAsia="Times New Roman" w:hAnsi="Times New Roman" w:cs="Times New Roman"/>
          <w:color w:val="221E1F"/>
          <w:sz w:val="24"/>
          <w:szCs w:val="24"/>
        </w:rPr>
        <w:t xml:space="preserve">the diversification objective appears to be more unequivocally pursued through research policy. </w:t>
      </w:r>
      <w:r w:rsidR="002F62F5" w:rsidRPr="003A59C0">
        <w:rPr>
          <w:rFonts w:ascii="Times New Roman" w:eastAsia="Times New Roman" w:hAnsi="Times New Roman" w:cs="Times New Roman"/>
          <w:color w:val="221E1F"/>
          <w:sz w:val="24"/>
          <w:szCs w:val="24"/>
        </w:rPr>
        <w:t xml:space="preserve">All countries, including Serbia and Albania participate in </w:t>
      </w:r>
      <w:r w:rsidR="00B84DCC" w:rsidRPr="003A59C0">
        <w:rPr>
          <w:rFonts w:ascii="Times New Roman" w:eastAsia="Times New Roman" w:hAnsi="Times New Roman" w:cs="Times New Roman"/>
          <w:color w:val="221E1F"/>
          <w:sz w:val="24"/>
          <w:szCs w:val="24"/>
        </w:rPr>
        <w:t>the 7</w:t>
      </w:r>
      <w:r w:rsidR="00B84DCC" w:rsidRPr="003A59C0">
        <w:rPr>
          <w:rFonts w:ascii="Times New Roman" w:eastAsia="Times New Roman" w:hAnsi="Times New Roman" w:cs="Times New Roman"/>
          <w:color w:val="221E1F"/>
          <w:sz w:val="24"/>
          <w:szCs w:val="24"/>
          <w:vertAlign w:val="superscript"/>
        </w:rPr>
        <w:t>th</w:t>
      </w:r>
      <w:r w:rsidR="00B84DCC" w:rsidRPr="003A59C0">
        <w:rPr>
          <w:rFonts w:ascii="Times New Roman" w:eastAsia="Times New Roman" w:hAnsi="Times New Roman" w:cs="Times New Roman"/>
          <w:color w:val="221E1F"/>
          <w:sz w:val="24"/>
          <w:szCs w:val="24"/>
        </w:rPr>
        <w:t xml:space="preserve"> Framework Programme</w:t>
      </w:r>
      <w:r w:rsidR="002F62F5" w:rsidRPr="003A59C0">
        <w:rPr>
          <w:rFonts w:ascii="Times New Roman" w:eastAsia="Times New Roman" w:hAnsi="Times New Roman" w:cs="Times New Roman"/>
          <w:color w:val="221E1F"/>
          <w:sz w:val="24"/>
          <w:szCs w:val="24"/>
        </w:rPr>
        <w:t>. This Programme</w:t>
      </w:r>
      <w:r w:rsidR="00B84DCC" w:rsidRPr="003A59C0">
        <w:rPr>
          <w:rFonts w:ascii="Times New Roman" w:eastAsia="Times New Roman" w:hAnsi="Times New Roman" w:cs="Times New Roman"/>
          <w:color w:val="221E1F"/>
          <w:sz w:val="24"/>
          <w:szCs w:val="24"/>
        </w:rPr>
        <w:t xml:space="preserve"> is not only an important mechanism to </w:t>
      </w:r>
      <w:r w:rsidR="002F62F5" w:rsidRPr="003A59C0">
        <w:rPr>
          <w:rFonts w:ascii="Times New Roman" w:eastAsia="Times New Roman" w:hAnsi="Times New Roman" w:cs="Times New Roman"/>
          <w:color w:val="221E1F"/>
          <w:sz w:val="24"/>
          <w:szCs w:val="24"/>
        </w:rPr>
        <w:t xml:space="preserve">research </w:t>
      </w:r>
      <w:r w:rsidR="00B84DCC" w:rsidRPr="003A59C0">
        <w:rPr>
          <w:rFonts w:ascii="Times New Roman" w:eastAsia="Times New Roman" w:hAnsi="Times New Roman" w:cs="Times New Roman"/>
          <w:color w:val="221E1F"/>
          <w:sz w:val="24"/>
          <w:szCs w:val="24"/>
        </w:rPr>
        <w:t xml:space="preserve">capacity-building </w:t>
      </w:r>
      <w:r w:rsidR="002F62F5" w:rsidRPr="003A59C0">
        <w:rPr>
          <w:rFonts w:ascii="Times New Roman" w:eastAsia="Times New Roman" w:hAnsi="Times New Roman" w:cs="Times New Roman"/>
          <w:color w:val="221E1F"/>
          <w:sz w:val="24"/>
          <w:szCs w:val="24"/>
        </w:rPr>
        <w:t>and</w:t>
      </w:r>
      <w:r w:rsidR="00B84DCC" w:rsidRPr="003A59C0">
        <w:rPr>
          <w:rFonts w:ascii="Times New Roman" w:eastAsia="Times New Roman" w:hAnsi="Times New Roman" w:cs="Times New Roman"/>
          <w:color w:val="221E1F"/>
          <w:sz w:val="24"/>
          <w:szCs w:val="24"/>
        </w:rPr>
        <w:t xml:space="preserve"> integration into European Research Area, but it is also seen as ‘an important pre-accession tool’.</w:t>
      </w:r>
      <w:r w:rsidR="00B84DCC" w:rsidRPr="003A59C0">
        <w:rPr>
          <w:rStyle w:val="FootnoteReference"/>
          <w:rFonts w:ascii="Times New Roman" w:eastAsia="Times New Roman" w:hAnsi="Times New Roman" w:cs="Times New Roman"/>
          <w:color w:val="221E1F"/>
          <w:sz w:val="24"/>
          <w:szCs w:val="24"/>
        </w:rPr>
        <w:footnoteReference w:id="2"/>
      </w:r>
      <w:r w:rsidR="00B84DCC" w:rsidRPr="003A59C0">
        <w:rPr>
          <w:rFonts w:ascii="Times New Roman" w:eastAsia="Times New Roman" w:hAnsi="Times New Roman" w:cs="Times New Roman"/>
          <w:color w:val="221E1F"/>
          <w:sz w:val="24"/>
          <w:szCs w:val="24"/>
        </w:rPr>
        <w:t xml:space="preserve"> In area of research, “shadow of conditionality” applies much more than in HE policy</w:t>
      </w:r>
      <w:r w:rsidR="002F62F5" w:rsidRPr="003A59C0">
        <w:rPr>
          <w:rFonts w:ascii="Times New Roman" w:eastAsia="Times New Roman" w:hAnsi="Times New Roman" w:cs="Times New Roman"/>
          <w:color w:val="221E1F"/>
          <w:sz w:val="24"/>
          <w:szCs w:val="24"/>
        </w:rPr>
        <w:t>. Re</w:t>
      </w:r>
      <w:r w:rsidR="00B84DCC" w:rsidRPr="003A59C0">
        <w:rPr>
          <w:rFonts w:ascii="Times New Roman" w:eastAsia="Times New Roman" w:hAnsi="Times New Roman" w:cs="Times New Roman"/>
          <w:color w:val="221E1F"/>
          <w:sz w:val="24"/>
          <w:szCs w:val="24"/>
        </w:rPr>
        <w:t xml:space="preserve">search </w:t>
      </w:r>
      <w:r w:rsidR="002F62F5" w:rsidRPr="003A59C0">
        <w:rPr>
          <w:rFonts w:ascii="Times New Roman" w:eastAsia="Times New Roman" w:hAnsi="Times New Roman" w:cs="Times New Roman"/>
          <w:color w:val="221E1F"/>
          <w:sz w:val="24"/>
          <w:szCs w:val="24"/>
        </w:rPr>
        <w:t>is one of</w:t>
      </w:r>
      <w:r w:rsidR="00B84DCC" w:rsidRPr="003A59C0">
        <w:rPr>
          <w:rFonts w:ascii="Times New Roman" w:eastAsia="Times New Roman" w:hAnsi="Times New Roman" w:cs="Times New Roman"/>
          <w:color w:val="221E1F"/>
          <w:sz w:val="24"/>
          <w:szCs w:val="24"/>
        </w:rPr>
        <w:t xml:space="preserve"> those policy areas where </w:t>
      </w:r>
      <w:r w:rsidR="00BD512E" w:rsidRPr="003A59C0">
        <w:rPr>
          <w:rFonts w:ascii="Times New Roman" w:eastAsia="Times New Roman" w:hAnsi="Times New Roman" w:cs="Times New Roman"/>
          <w:color w:val="221E1F"/>
          <w:sz w:val="24"/>
          <w:szCs w:val="24"/>
        </w:rPr>
        <w:t xml:space="preserve">EU institutions </w:t>
      </w:r>
      <w:r w:rsidR="002F62F5" w:rsidRPr="003A59C0">
        <w:rPr>
          <w:rFonts w:ascii="Times New Roman" w:eastAsia="Times New Roman" w:hAnsi="Times New Roman" w:cs="Times New Roman"/>
          <w:color w:val="221E1F"/>
          <w:sz w:val="24"/>
          <w:szCs w:val="24"/>
        </w:rPr>
        <w:t xml:space="preserve">under the Community method </w:t>
      </w:r>
      <w:r w:rsidR="00BD512E" w:rsidRPr="003A59C0">
        <w:rPr>
          <w:rFonts w:ascii="Times New Roman" w:eastAsia="Times New Roman" w:hAnsi="Times New Roman" w:cs="Times New Roman"/>
          <w:color w:val="221E1F"/>
          <w:sz w:val="24"/>
          <w:szCs w:val="24"/>
        </w:rPr>
        <w:t xml:space="preserve">enjoy </w:t>
      </w:r>
      <w:r w:rsidR="002F62F5" w:rsidRPr="003A59C0">
        <w:rPr>
          <w:rFonts w:ascii="Times New Roman" w:eastAsia="Times New Roman" w:hAnsi="Times New Roman" w:cs="Times New Roman"/>
          <w:color w:val="221E1F"/>
          <w:sz w:val="24"/>
          <w:szCs w:val="24"/>
        </w:rPr>
        <w:t xml:space="preserve">decision-making powers and </w:t>
      </w:r>
      <w:r w:rsidR="0088437A" w:rsidRPr="003A59C0">
        <w:rPr>
          <w:rFonts w:ascii="Times New Roman" w:eastAsia="Times New Roman" w:hAnsi="Times New Roman" w:cs="Times New Roman"/>
          <w:color w:val="221E1F"/>
          <w:sz w:val="24"/>
          <w:szCs w:val="24"/>
        </w:rPr>
        <w:t xml:space="preserve">there are ample European directives and case law of the European Court of Justice. Also, </w:t>
      </w:r>
      <w:r w:rsidR="00BD512E" w:rsidRPr="003A59C0">
        <w:rPr>
          <w:rFonts w:ascii="Times New Roman" w:eastAsia="Times New Roman" w:hAnsi="Times New Roman" w:cs="Times New Roman"/>
          <w:color w:val="221E1F"/>
          <w:sz w:val="24"/>
          <w:szCs w:val="24"/>
        </w:rPr>
        <w:t xml:space="preserve">there has been a significant </w:t>
      </w:r>
      <w:r w:rsidR="0088437A" w:rsidRPr="003A59C0">
        <w:rPr>
          <w:rFonts w:ascii="Times New Roman" w:eastAsia="Times New Roman" w:hAnsi="Times New Roman" w:cs="Times New Roman"/>
          <w:color w:val="221E1F"/>
          <w:sz w:val="24"/>
          <w:szCs w:val="24"/>
        </w:rPr>
        <w:t>“</w:t>
      </w:r>
      <w:r w:rsidR="00BD512E" w:rsidRPr="003A59C0">
        <w:rPr>
          <w:rFonts w:ascii="Times New Roman" w:eastAsia="Times New Roman" w:hAnsi="Times New Roman" w:cs="Times New Roman"/>
          <w:color w:val="221E1F"/>
          <w:sz w:val="24"/>
          <w:szCs w:val="24"/>
        </w:rPr>
        <w:t>deepening</w:t>
      </w:r>
      <w:r w:rsidR="0088437A" w:rsidRPr="003A59C0">
        <w:rPr>
          <w:rFonts w:ascii="Times New Roman" w:eastAsia="Times New Roman" w:hAnsi="Times New Roman" w:cs="Times New Roman"/>
          <w:color w:val="221E1F"/>
          <w:sz w:val="24"/>
          <w:szCs w:val="24"/>
        </w:rPr>
        <w:t>”</w:t>
      </w:r>
      <w:r w:rsidR="00BD512E" w:rsidRPr="003A59C0">
        <w:rPr>
          <w:rFonts w:ascii="Times New Roman" w:eastAsia="Times New Roman" w:hAnsi="Times New Roman" w:cs="Times New Roman"/>
          <w:color w:val="221E1F"/>
          <w:sz w:val="24"/>
          <w:szCs w:val="24"/>
        </w:rPr>
        <w:t xml:space="preserve"> of EU </w:t>
      </w:r>
      <w:r w:rsidR="0088437A" w:rsidRPr="003A59C0">
        <w:rPr>
          <w:rFonts w:ascii="Times New Roman" w:eastAsia="Times New Roman" w:hAnsi="Times New Roman" w:cs="Times New Roman"/>
          <w:color w:val="221E1F"/>
          <w:sz w:val="24"/>
          <w:szCs w:val="24"/>
        </w:rPr>
        <w:t xml:space="preserve">research </w:t>
      </w:r>
      <w:r w:rsidR="00BD512E" w:rsidRPr="003A59C0">
        <w:rPr>
          <w:rFonts w:ascii="Times New Roman" w:eastAsia="Times New Roman" w:hAnsi="Times New Roman" w:cs="Times New Roman"/>
          <w:color w:val="221E1F"/>
          <w:sz w:val="24"/>
          <w:szCs w:val="24"/>
        </w:rPr>
        <w:t xml:space="preserve">policies in aftermath to the Lisbon Agenda. </w:t>
      </w:r>
      <w:r w:rsidR="00285AA5" w:rsidRPr="003A59C0">
        <w:rPr>
          <w:rFonts w:ascii="Times New Roman" w:eastAsia="Times New Roman" w:hAnsi="Times New Roman" w:cs="Times New Roman"/>
          <w:color w:val="221E1F"/>
          <w:sz w:val="24"/>
          <w:szCs w:val="24"/>
        </w:rPr>
        <w:t xml:space="preserve">One of the </w:t>
      </w:r>
      <w:r w:rsidR="00BD512E" w:rsidRPr="003A59C0">
        <w:rPr>
          <w:rFonts w:ascii="Times New Roman" w:eastAsia="Times New Roman" w:hAnsi="Times New Roman" w:cs="Times New Roman"/>
          <w:color w:val="221E1F"/>
          <w:sz w:val="24"/>
          <w:szCs w:val="24"/>
        </w:rPr>
        <w:t xml:space="preserve">concrete activities promoted and financially supported </w:t>
      </w:r>
      <w:r w:rsidR="00285AA5" w:rsidRPr="003A59C0">
        <w:rPr>
          <w:rFonts w:ascii="Times New Roman" w:eastAsia="Times New Roman" w:hAnsi="Times New Roman" w:cs="Times New Roman"/>
          <w:color w:val="221E1F"/>
          <w:sz w:val="24"/>
          <w:szCs w:val="24"/>
        </w:rPr>
        <w:t>in this area is</w:t>
      </w:r>
      <w:r w:rsidR="002D15B0">
        <w:rPr>
          <w:rFonts w:ascii="Times New Roman" w:eastAsia="Times New Roman" w:hAnsi="Times New Roman" w:cs="Times New Roman"/>
          <w:color w:val="221E1F"/>
          <w:sz w:val="24"/>
          <w:szCs w:val="24"/>
        </w:rPr>
        <w:t xml:space="preserve"> in</w:t>
      </w:r>
      <w:r w:rsidR="00285AA5" w:rsidRPr="003A59C0">
        <w:rPr>
          <w:rFonts w:ascii="Times New Roman" w:eastAsia="Times New Roman" w:hAnsi="Times New Roman" w:cs="Times New Roman"/>
          <w:color w:val="221E1F"/>
          <w:sz w:val="24"/>
          <w:szCs w:val="24"/>
        </w:rPr>
        <w:t xml:space="preserve"> identifying and developing centres of research </w:t>
      </w:r>
      <w:r w:rsidR="00B84DCC" w:rsidRPr="003A59C0">
        <w:rPr>
          <w:rFonts w:ascii="Times New Roman" w:eastAsia="Times New Roman" w:hAnsi="Times New Roman" w:cs="Times New Roman"/>
          <w:color w:val="221E1F"/>
          <w:sz w:val="24"/>
          <w:szCs w:val="24"/>
        </w:rPr>
        <w:t>excellence within individual and among networks of institutions in the region.</w:t>
      </w:r>
      <w:r w:rsidR="0088437A" w:rsidRPr="003A59C0">
        <w:rPr>
          <w:rFonts w:ascii="Times New Roman" w:eastAsia="Times New Roman" w:hAnsi="Times New Roman" w:cs="Times New Roman"/>
          <w:color w:val="221E1F"/>
          <w:sz w:val="24"/>
          <w:szCs w:val="24"/>
        </w:rPr>
        <w:t xml:space="preserve"> </w:t>
      </w:r>
      <w:r w:rsidR="002D15B0">
        <w:rPr>
          <w:rFonts w:ascii="Times New Roman" w:eastAsia="Times New Roman" w:hAnsi="Times New Roman" w:cs="Times New Roman"/>
          <w:color w:val="221E1F"/>
          <w:sz w:val="24"/>
          <w:szCs w:val="24"/>
        </w:rPr>
        <w:t>In Western Balkans, a</w:t>
      </w:r>
      <w:r w:rsidR="006A7888" w:rsidRPr="003A59C0">
        <w:rPr>
          <w:rFonts w:ascii="Times New Roman" w:eastAsia="Times New Roman" w:hAnsi="Times New Roman" w:cs="Times New Roman"/>
          <w:color w:val="221E1F"/>
          <w:sz w:val="24"/>
          <w:szCs w:val="24"/>
        </w:rPr>
        <w:t xml:space="preserve">s </w:t>
      </w:r>
      <w:r w:rsidR="002D15B0">
        <w:rPr>
          <w:rFonts w:ascii="Times New Roman" w:eastAsia="Times New Roman" w:hAnsi="Times New Roman" w:cs="Times New Roman"/>
          <w:color w:val="221E1F"/>
          <w:sz w:val="24"/>
          <w:szCs w:val="24"/>
        </w:rPr>
        <w:t xml:space="preserve">already </w:t>
      </w:r>
      <w:r w:rsidR="006A7888" w:rsidRPr="003A59C0">
        <w:rPr>
          <w:rFonts w:ascii="Times New Roman" w:eastAsia="Times New Roman" w:hAnsi="Times New Roman" w:cs="Times New Roman"/>
          <w:color w:val="221E1F"/>
          <w:sz w:val="24"/>
          <w:szCs w:val="24"/>
        </w:rPr>
        <w:t xml:space="preserve">in the rest of Europe, research quality is </w:t>
      </w:r>
      <w:r w:rsidR="002D15B0">
        <w:rPr>
          <w:rFonts w:ascii="Times New Roman" w:eastAsia="Times New Roman" w:hAnsi="Times New Roman" w:cs="Times New Roman"/>
          <w:color w:val="221E1F"/>
          <w:sz w:val="24"/>
          <w:szCs w:val="24"/>
        </w:rPr>
        <w:t>becoming</w:t>
      </w:r>
      <w:r w:rsidR="006A7888" w:rsidRPr="003A59C0">
        <w:rPr>
          <w:rFonts w:ascii="Times New Roman" w:eastAsia="Times New Roman" w:hAnsi="Times New Roman" w:cs="Times New Roman"/>
          <w:color w:val="221E1F"/>
          <w:sz w:val="24"/>
          <w:szCs w:val="24"/>
        </w:rPr>
        <w:t xml:space="preserve"> the single most powerful element of diversification</w:t>
      </w:r>
      <w:r w:rsidR="00E06BA1" w:rsidRPr="003A59C0">
        <w:rPr>
          <w:rFonts w:ascii="Times New Roman" w:eastAsia="Times New Roman" w:hAnsi="Times New Roman" w:cs="Times New Roman"/>
          <w:color w:val="221E1F"/>
          <w:sz w:val="24"/>
          <w:szCs w:val="24"/>
        </w:rPr>
        <w:t xml:space="preserve">. </w:t>
      </w:r>
      <w:r w:rsidR="002D15B0">
        <w:rPr>
          <w:rFonts w:ascii="Times New Roman" w:eastAsia="Times New Roman" w:hAnsi="Times New Roman" w:cs="Times New Roman"/>
          <w:color w:val="221E1F"/>
          <w:sz w:val="24"/>
          <w:szCs w:val="24"/>
        </w:rPr>
        <w:t>This can, on the one hand,</w:t>
      </w:r>
      <w:r w:rsidR="00E06BA1" w:rsidRPr="003A59C0">
        <w:rPr>
          <w:rFonts w:ascii="Times New Roman" w:eastAsia="Times New Roman" w:hAnsi="Times New Roman" w:cs="Times New Roman"/>
          <w:color w:val="221E1F"/>
          <w:sz w:val="24"/>
          <w:szCs w:val="24"/>
        </w:rPr>
        <w:t xml:space="preserve"> helpfully strengthen especially intra-institutional diversity</w:t>
      </w:r>
      <w:r w:rsidR="002D15B0">
        <w:rPr>
          <w:rFonts w:ascii="Times New Roman" w:eastAsia="Times New Roman" w:hAnsi="Times New Roman" w:cs="Times New Roman"/>
          <w:color w:val="221E1F"/>
          <w:sz w:val="24"/>
          <w:szCs w:val="24"/>
        </w:rPr>
        <w:t xml:space="preserve">; </w:t>
      </w:r>
      <w:r w:rsidR="00E06BA1" w:rsidRPr="003A59C0">
        <w:rPr>
          <w:rFonts w:ascii="Times New Roman" w:eastAsia="Times New Roman" w:hAnsi="Times New Roman" w:cs="Times New Roman"/>
          <w:color w:val="221E1F"/>
          <w:sz w:val="24"/>
          <w:szCs w:val="24"/>
        </w:rPr>
        <w:t>a condition that is increasingly highlighted in the literature</w:t>
      </w:r>
      <w:r w:rsidR="002D15B0">
        <w:rPr>
          <w:rFonts w:ascii="Times New Roman" w:eastAsia="Times New Roman" w:hAnsi="Times New Roman" w:cs="Times New Roman"/>
          <w:color w:val="221E1F"/>
          <w:sz w:val="24"/>
          <w:szCs w:val="24"/>
        </w:rPr>
        <w:t xml:space="preserve"> as desirable</w:t>
      </w:r>
      <w:r w:rsidR="00E06BA1" w:rsidRPr="003A59C0">
        <w:rPr>
          <w:rFonts w:ascii="Times New Roman" w:eastAsia="Times New Roman" w:hAnsi="Times New Roman" w:cs="Times New Roman"/>
          <w:color w:val="221E1F"/>
          <w:sz w:val="24"/>
          <w:szCs w:val="24"/>
        </w:rPr>
        <w:t xml:space="preserve"> (e.g. Teichler 2008; Reichert 2009). One the other hand, there is a danger that the already existent </w:t>
      </w:r>
      <w:r w:rsidR="006A7888" w:rsidRPr="003A59C0">
        <w:rPr>
          <w:rFonts w:ascii="Times New Roman" w:eastAsia="Times New Roman" w:hAnsi="Times New Roman" w:cs="Times New Roman"/>
          <w:color w:val="221E1F"/>
          <w:sz w:val="24"/>
          <w:szCs w:val="24"/>
        </w:rPr>
        <w:t>vertical differentiation</w:t>
      </w:r>
      <w:r w:rsidR="00E06BA1" w:rsidRPr="003A59C0">
        <w:rPr>
          <w:rFonts w:ascii="Times New Roman" w:eastAsia="Times New Roman" w:hAnsi="Times New Roman" w:cs="Times New Roman"/>
          <w:color w:val="221E1F"/>
          <w:sz w:val="24"/>
          <w:szCs w:val="24"/>
        </w:rPr>
        <w:t xml:space="preserve"> will become even steeper</w:t>
      </w:r>
      <w:r w:rsidR="002D15B0">
        <w:rPr>
          <w:rFonts w:ascii="Times New Roman" w:eastAsia="Times New Roman" w:hAnsi="Times New Roman" w:cs="Times New Roman"/>
          <w:color w:val="221E1F"/>
          <w:sz w:val="24"/>
          <w:szCs w:val="24"/>
        </w:rPr>
        <w:t>, leading to imitations of the universities on the top</w:t>
      </w:r>
      <w:r w:rsidR="00E06BA1" w:rsidRPr="003A59C0">
        <w:rPr>
          <w:rFonts w:ascii="Times New Roman" w:eastAsia="Times New Roman" w:hAnsi="Times New Roman" w:cs="Times New Roman"/>
          <w:color w:val="221E1F"/>
          <w:sz w:val="24"/>
          <w:szCs w:val="24"/>
        </w:rPr>
        <w:t xml:space="preserve"> </w:t>
      </w:r>
      <w:r w:rsidR="002D15B0">
        <w:rPr>
          <w:rFonts w:ascii="Times New Roman" w:eastAsia="Times New Roman" w:hAnsi="Times New Roman" w:cs="Times New Roman"/>
          <w:color w:val="221E1F"/>
          <w:sz w:val="24"/>
          <w:szCs w:val="24"/>
        </w:rPr>
        <w:t xml:space="preserve">and thus </w:t>
      </w:r>
      <w:r w:rsidR="00E06BA1" w:rsidRPr="003A59C0">
        <w:rPr>
          <w:rFonts w:ascii="Times New Roman" w:eastAsia="Times New Roman" w:hAnsi="Times New Roman" w:cs="Times New Roman"/>
          <w:color w:val="221E1F"/>
          <w:sz w:val="24"/>
          <w:szCs w:val="24"/>
        </w:rPr>
        <w:t xml:space="preserve">weakening horizontal diversity. </w:t>
      </w:r>
    </w:p>
    <w:p w:rsidR="002D15B0" w:rsidRPr="003A59C0" w:rsidRDefault="002D15B0" w:rsidP="00E06BA1">
      <w:pPr>
        <w:spacing w:after="0"/>
        <w:jc w:val="both"/>
        <w:rPr>
          <w:rFonts w:ascii="Times New Roman" w:eastAsia="Times New Roman" w:hAnsi="Times New Roman" w:cs="Times New Roman"/>
          <w:color w:val="221E1F"/>
          <w:sz w:val="24"/>
          <w:szCs w:val="24"/>
        </w:rPr>
      </w:pPr>
    </w:p>
    <w:p w:rsidR="00694B33" w:rsidRPr="003A59C0" w:rsidRDefault="00694B33">
      <w:pPr>
        <w:rPr>
          <w:rFonts w:ascii="Times New Roman" w:eastAsiaTheme="majorEastAsia" w:hAnsi="Times New Roman" w:cs="Times New Roman"/>
          <w:b/>
          <w:bCs/>
          <w:color w:val="365F91" w:themeColor="accent1" w:themeShade="BF"/>
          <w:sz w:val="24"/>
          <w:szCs w:val="24"/>
          <w:lang w:val="en-US"/>
        </w:rPr>
      </w:pPr>
      <w:r w:rsidRPr="003A59C0">
        <w:rPr>
          <w:rFonts w:ascii="Times New Roman" w:hAnsi="Times New Roman" w:cs="Times New Roman"/>
          <w:sz w:val="24"/>
          <w:szCs w:val="24"/>
          <w:lang w:val="en-US"/>
        </w:rPr>
        <w:br w:type="page"/>
      </w:r>
    </w:p>
    <w:p w:rsidR="00C74645" w:rsidRPr="003A59C0" w:rsidRDefault="00C74645" w:rsidP="006E008A">
      <w:pPr>
        <w:pStyle w:val="Heading1"/>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Bibliography</w:t>
      </w:r>
    </w:p>
    <w:p w:rsidR="004E0D0B" w:rsidRPr="003A59C0" w:rsidRDefault="004E0D0B" w:rsidP="006E008A">
      <w:pPr>
        <w:jc w:val="both"/>
        <w:rPr>
          <w:rFonts w:ascii="Times New Roman" w:hAnsi="Times New Roman" w:cs="Times New Roman"/>
          <w:sz w:val="24"/>
          <w:szCs w:val="24"/>
          <w:lang w:val="en-US"/>
        </w:rPr>
      </w:pP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Börzel, T. (2002).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Member State Responses to Europeanization</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Journal of Common Market Studies</w:t>
      </w:r>
      <w:r w:rsidRPr="003A59C0">
        <w:rPr>
          <w:rFonts w:ascii="Times New Roman" w:hAnsi="Times New Roman" w:cs="Times New Roman"/>
          <w:sz w:val="24"/>
          <w:szCs w:val="24"/>
          <w:lang w:val="en-US"/>
        </w:rPr>
        <w:t xml:space="preserve"> 40 (2): 193-214.</w:t>
      </w:r>
    </w:p>
    <w:p w:rsidR="000C3F1A"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Börzel, T. and Risse, T. (2000).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When Europe Hits Home: Europeanization and Domestic Change</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European Integration Online Papers (EIOP)</w:t>
      </w:r>
      <w:r w:rsidR="00EF28BB" w:rsidRPr="003A59C0">
        <w:rPr>
          <w:rFonts w:ascii="Times New Roman" w:hAnsi="Times New Roman" w:cs="Times New Roman"/>
          <w:i/>
          <w:sz w:val="24"/>
          <w:szCs w:val="24"/>
          <w:lang w:val="en-US"/>
        </w:rPr>
        <w:t xml:space="preserve"> </w:t>
      </w:r>
      <w:r w:rsidRPr="003A59C0">
        <w:rPr>
          <w:rFonts w:ascii="Times New Roman" w:hAnsi="Times New Roman" w:cs="Times New Roman"/>
          <w:sz w:val="24"/>
          <w:szCs w:val="24"/>
          <w:lang w:val="en-US"/>
        </w:rPr>
        <w:t xml:space="preserve"> 4</w:t>
      </w:r>
      <w:r w:rsidR="00EF28BB" w:rsidRPr="003A59C0">
        <w:rPr>
          <w:rFonts w:ascii="Times New Roman" w:hAnsi="Times New Roman" w:cs="Times New Roman"/>
          <w:sz w:val="24"/>
          <w:szCs w:val="24"/>
          <w:lang w:val="en-US"/>
        </w:rPr>
        <w:t>(15)</w:t>
      </w:r>
      <w:r w:rsidRPr="003A59C0">
        <w:rPr>
          <w:rFonts w:ascii="Times New Roman" w:hAnsi="Times New Roman" w:cs="Times New Roman"/>
          <w:sz w:val="24"/>
          <w:szCs w:val="24"/>
          <w:lang w:val="en-US"/>
        </w:rPr>
        <w:t xml:space="preserve">. </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Börzel, T. and Risse, T. (2003).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Conceptualisin</w:t>
      </w:r>
      <w:r w:rsidR="00EF28BB" w:rsidRPr="003A59C0">
        <w:rPr>
          <w:rFonts w:ascii="Times New Roman" w:hAnsi="Times New Roman" w:cs="Times New Roman"/>
          <w:sz w:val="24"/>
          <w:szCs w:val="24"/>
          <w:lang w:val="en-US"/>
        </w:rPr>
        <w:t>g the Domestic Impact of Europe”</w:t>
      </w:r>
      <w:r w:rsidRPr="003A59C0">
        <w:rPr>
          <w:rFonts w:ascii="Times New Roman" w:hAnsi="Times New Roman" w:cs="Times New Roman"/>
          <w:sz w:val="24"/>
          <w:szCs w:val="24"/>
          <w:lang w:val="en-US"/>
        </w:rPr>
        <w:t xml:space="preserve">. In Featherstone, K. and Radaelli, C. (eds) </w:t>
      </w:r>
      <w:r w:rsidRPr="003A59C0">
        <w:rPr>
          <w:rFonts w:ascii="Times New Roman" w:hAnsi="Times New Roman" w:cs="Times New Roman"/>
          <w:i/>
          <w:sz w:val="24"/>
          <w:szCs w:val="24"/>
          <w:lang w:val="en-US"/>
        </w:rPr>
        <w:t>The Politics of Europeanization</w:t>
      </w:r>
      <w:r w:rsidR="00EF28BB" w:rsidRPr="003A59C0">
        <w:rPr>
          <w:rFonts w:ascii="Times New Roman" w:hAnsi="Times New Roman" w:cs="Times New Roman"/>
          <w:sz w:val="24"/>
          <w:szCs w:val="24"/>
          <w:lang w:val="en-US"/>
        </w:rPr>
        <w:t xml:space="preserve">. </w:t>
      </w:r>
      <w:r w:rsidRPr="003A59C0">
        <w:rPr>
          <w:rFonts w:ascii="Times New Roman" w:hAnsi="Times New Roman" w:cs="Times New Roman"/>
          <w:sz w:val="24"/>
          <w:szCs w:val="24"/>
          <w:lang w:val="en-US"/>
        </w:rPr>
        <w:t>Oxford/Ne</w:t>
      </w:r>
      <w:r w:rsidR="00EF28BB" w:rsidRPr="003A59C0">
        <w:rPr>
          <w:rFonts w:ascii="Times New Roman" w:hAnsi="Times New Roman" w:cs="Times New Roman"/>
          <w:sz w:val="24"/>
          <w:szCs w:val="24"/>
          <w:lang w:val="en-US"/>
        </w:rPr>
        <w:t>w York: Oxford University Press</w:t>
      </w:r>
      <w:r w:rsidRPr="003A59C0">
        <w:rPr>
          <w:rFonts w:ascii="Times New Roman" w:hAnsi="Times New Roman" w:cs="Times New Roman"/>
          <w:sz w:val="24"/>
          <w:szCs w:val="24"/>
          <w:lang w:val="en-US"/>
        </w:rPr>
        <w:t>.</w:t>
      </w:r>
    </w:p>
    <w:p w:rsidR="00B17316" w:rsidRPr="003A59C0" w:rsidRDefault="00B17316" w:rsidP="00B17316">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Börzel, T. and Risse, T. (2012). “From Europeanisation to Diffusion: Introduction.” </w:t>
      </w:r>
      <w:r w:rsidRPr="003A59C0">
        <w:rPr>
          <w:rFonts w:ascii="Times New Roman" w:hAnsi="Times New Roman" w:cs="Times New Roman"/>
          <w:i/>
          <w:sz w:val="24"/>
          <w:szCs w:val="24"/>
          <w:lang w:val="en-US"/>
        </w:rPr>
        <w:t>West European Politics</w:t>
      </w:r>
      <w:r w:rsidRPr="003A59C0">
        <w:rPr>
          <w:rFonts w:ascii="Times New Roman" w:hAnsi="Times New Roman" w:cs="Times New Roman"/>
          <w:sz w:val="24"/>
          <w:szCs w:val="24"/>
          <w:lang w:val="en-US"/>
        </w:rPr>
        <w:t xml:space="preserve"> 35 (1): 1-19. </w:t>
      </w:r>
    </w:p>
    <w:p w:rsidR="00B128A2" w:rsidRPr="003A59C0" w:rsidRDefault="00B128A2" w:rsidP="00B17316">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Capano, G., &amp; Piattoni, S. (2011). “From Bologna to Lisbon: The political uses of the Lisbon</w:t>
      </w:r>
      <w:r w:rsidR="00B17316" w:rsidRPr="003A59C0">
        <w:rPr>
          <w:rFonts w:ascii="Times New Roman" w:hAnsi="Times New Roman" w:cs="Times New Roman"/>
          <w:sz w:val="24"/>
          <w:szCs w:val="24"/>
          <w:lang w:val="en-US"/>
        </w:rPr>
        <w:t xml:space="preserve"> </w:t>
      </w:r>
      <w:r w:rsidRPr="003A59C0">
        <w:rPr>
          <w:rFonts w:ascii="Times New Roman" w:hAnsi="Times New Roman" w:cs="Times New Roman"/>
          <w:sz w:val="24"/>
          <w:szCs w:val="24"/>
          <w:lang w:val="en-US"/>
        </w:rPr>
        <w:t xml:space="preserve">“script” in European higher education policy”. </w:t>
      </w:r>
      <w:r w:rsidRPr="003A59C0">
        <w:rPr>
          <w:rFonts w:ascii="Times New Roman" w:hAnsi="Times New Roman" w:cs="Times New Roman"/>
          <w:i/>
          <w:sz w:val="24"/>
          <w:szCs w:val="24"/>
          <w:lang w:val="en-US"/>
        </w:rPr>
        <w:t>Journal of European Public Policy</w:t>
      </w:r>
      <w:r w:rsidRPr="003A59C0">
        <w:rPr>
          <w:rFonts w:ascii="Times New Roman" w:hAnsi="Times New Roman" w:cs="Times New Roman"/>
          <w:sz w:val="24"/>
          <w:szCs w:val="24"/>
          <w:lang w:val="en-US"/>
        </w:rPr>
        <w:t>, 18 (4), 584–606.</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CEPS (2012). </w:t>
      </w:r>
      <w:r w:rsidRPr="003A59C0">
        <w:rPr>
          <w:rFonts w:ascii="Times New Roman" w:hAnsi="Times New Roman" w:cs="Times New Roman"/>
          <w:i/>
          <w:sz w:val="24"/>
          <w:szCs w:val="24"/>
          <w:lang w:val="en-US"/>
        </w:rPr>
        <w:t>Differentiation, Equity, Productivity: the social and economic consequences of expanded and differentiated higher education systems – internationalisation aspects (DEP-08-EuroHESC-OP-016).</w:t>
      </w:r>
      <w:r w:rsidRPr="003A59C0">
        <w:rPr>
          <w:rFonts w:ascii="Times New Roman" w:hAnsi="Times New Roman" w:cs="Times New Roman"/>
          <w:sz w:val="24"/>
          <w:szCs w:val="24"/>
          <w:lang w:val="en-US"/>
        </w:rPr>
        <w:t xml:space="preserve"> The Western Balkans Survey (January 2012 – June 2012). First results. Internal materials. Ljubljana: August 2012.</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CHE (2011). </w:t>
      </w:r>
      <w:r w:rsidRPr="003A59C0">
        <w:rPr>
          <w:rFonts w:ascii="Times New Roman" w:hAnsi="Times New Roman" w:cs="Times New Roman"/>
          <w:i/>
          <w:sz w:val="24"/>
          <w:szCs w:val="24"/>
          <w:lang w:val="en-US"/>
        </w:rPr>
        <w:t>Development of a Ranking in Albania</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Final Report July 2011.</w:t>
      </w:r>
      <w:r w:rsidR="00EF28BB" w:rsidRPr="003A59C0">
        <w:rPr>
          <w:rFonts w:ascii="Times New Roman" w:hAnsi="Times New Roman" w:cs="Times New Roman"/>
          <w:sz w:val="24"/>
          <w:szCs w:val="24"/>
          <w:lang w:val="en-US"/>
        </w:rPr>
        <w:t xml:space="preserve"> Guetersloh: Centre for Higher Education. </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Codling, A. and Meek, L. V. (2006).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Twelve Propositions on Diversity in Higher Education</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Higher Education Management and Policy</w:t>
      </w:r>
      <w:r w:rsidR="00EF28BB" w:rsidRPr="003A59C0">
        <w:rPr>
          <w:rFonts w:ascii="Times New Roman" w:hAnsi="Times New Roman" w:cs="Times New Roman"/>
          <w:i/>
          <w:sz w:val="24"/>
          <w:szCs w:val="24"/>
          <w:lang w:val="en-US"/>
        </w:rPr>
        <w:t xml:space="preserve"> </w:t>
      </w:r>
      <w:r w:rsidRPr="003A59C0">
        <w:rPr>
          <w:rFonts w:ascii="Times New Roman" w:hAnsi="Times New Roman" w:cs="Times New Roman"/>
          <w:sz w:val="24"/>
          <w:szCs w:val="24"/>
          <w:lang w:val="en-US"/>
        </w:rPr>
        <w:t>18</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3</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1-24.</w:t>
      </w:r>
    </w:p>
    <w:p w:rsidR="000C3F1A" w:rsidRPr="003A59C0" w:rsidRDefault="000C3F1A"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Elken, M, Gornitzka, </w:t>
      </w:r>
      <w:r w:rsidR="00DE5CDE" w:rsidRPr="003A59C0">
        <w:rPr>
          <w:rFonts w:ascii="Times New Roman" w:eastAsia="Calibri" w:hAnsi="Times New Roman" w:cs="Times New Roman"/>
          <w:sz w:val="24"/>
          <w:szCs w:val="24"/>
        </w:rPr>
        <w:t>Å.</w:t>
      </w:r>
      <w:r w:rsidRPr="003A59C0">
        <w:rPr>
          <w:rFonts w:ascii="Times New Roman" w:hAnsi="Times New Roman" w:cs="Times New Roman"/>
          <w:sz w:val="24"/>
          <w:szCs w:val="24"/>
          <w:lang w:val="en-US"/>
        </w:rPr>
        <w:t>, Maassen, P. and M. Vukasović</w:t>
      </w:r>
      <w:r w:rsidR="00906BF5" w:rsidRPr="003A59C0">
        <w:rPr>
          <w:rFonts w:ascii="Times New Roman" w:hAnsi="Times New Roman" w:cs="Times New Roman"/>
          <w:sz w:val="24"/>
          <w:szCs w:val="24"/>
          <w:lang w:val="en-US"/>
        </w:rPr>
        <w:t xml:space="preserve"> (2011</w:t>
      </w:r>
      <w:r w:rsidRPr="003A59C0">
        <w:rPr>
          <w:rFonts w:ascii="Times New Roman" w:hAnsi="Times New Roman" w:cs="Times New Roman"/>
          <w:sz w:val="24"/>
          <w:szCs w:val="24"/>
          <w:lang w:val="en-US"/>
        </w:rPr>
        <w:t>). European Integration and the transformation of higher education. Oslo: Department of Educational Research, University of Oslo.</w:t>
      </w:r>
    </w:p>
    <w:p w:rsidR="00B17316" w:rsidRPr="003A59C0" w:rsidRDefault="00B17316" w:rsidP="00B17316">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Gornitzka, Å. (2005). Coordinating policies for a “Europe of knowledge” Emerging practices of the “Open Method of Coordination” in education and research. Working Paper No.16, March 2005. Oslo: ARENA, Centre for European Studies, University of Oslo.</w:t>
      </w:r>
    </w:p>
    <w:p w:rsidR="004F106D" w:rsidRPr="003A59C0" w:rsidRDefault="006523B1" w:rsidP="00B17316">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Gornitzka, Å.</w:t>
      </w:r>
      <w:r w:rsidR="004F106D" w:rsidRPr="003A59C0">
        <w:rPr>
          <w:rFonts w:ascii="Times New Roman" w:hAnsi="Times New Roman" w:cs="Times New Roman"/>
          <w:sz w:val="24"/>
          <w:szCs w:val="24"/>
          <w:lang w:val="en-US"/>
        </w:rPr>
        <w:t xml:space="preserve"> (2010). Bologna in Context: a horizontal perspective on the dynamics of governance sites for a Europe of Knowledge. </w:t>
      </w:r>
      <w:r w:rsidR="004F106D" w:rsidRPr="003A59C0">
        <w:rPr>
          <w:rFonts w:ascii="Times New Roman" w:hAnsi="Times New Roman" w:cs="Times New Roman"/>
          <w:i/>
          <w:sz w:val="24"/>
          <w:szCs w:val="24"/>
          <w:lang w:val="en-US"/>
        </w:rPr>
        <w:t>European Journal of Education</w:t>
      </w:r>
      <w:r w:rsidR="004F106D" w:rsidRPr="003A59C0">
        <w:rPr>
          <w:rFonts w:ascii="Times New Roman" w:hAnsi="Times New Roman" w:cs="Times New Roman"/>
          <w:sz w:val="24"/>
          <w:szCs w:val="24"/>
          <w:lang w:val="en-US"/>
        </w:rPr>
        <w:t xml:space="preserve">  45(4)</w:t>
      </w:r>
      <w:r w:rsidRPr="003A59C0">
        <w:rPr>
          <w:rFonts w:ascii="Times New Roman" w:hAnsi="Times New Roman" w:cs="Times New Roman"/>
          <w:sz w:val="24"/>
          <w:szCs w:val="24"/>
          <w:lang w:val="en-US"/>
        </w:rPr>
        <w:t>: 535- 548</w:t>
      </w:r>
      <w:r w:rsidR="004F106D" w:rsidRPr="003A59C0">
        <w:rPr>
          <w:rFonts w:ascii="Times New Roman" w:hAnsi="Times New Roman" w:cs="Times New Roman"/>
          <w:sz w:val="24"/>
          <w:szCs w:val="24"/>
          <w:lang w:val="en-US"/>
        </w:rPr>
        <w:t>.</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Guri-Rosenblit, S. (2001).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Virtual universities: current models and future trends</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 xml:space="preserve">Higher Education in Europe </w:t>
      </w:r>
      <w:r w:rsidRPr="003A59C0">
        <w:rPr>
          <w:rFonts w:ascii="Times New Roman" w:hAnsi="Times New Roman" w:cs="Times New Roman"/>
          <w:sz w:val="24"/>
          <w:szCs w:val="24"/>
          <w:lang w:val="en-US"/>
        </w:rPr>
        <w:t>26(4): 487–489.</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Guru-Rosenblit, S., Sebkova, S. and </w:t>
      </w:r>
      <w:r w:rsidR="000C3F1A" w:rsidRPr="003A59C0">
        <w:rPr>
          <w:rFonts w:ascii="Times New Roman" w:hAnsi="Times New Roman" w:cs="Times New Roman"/>
          <w:sz w:val="24"/>
          <w:szCs w:val="24"/>
          <w:lang w:val="en-US"/>
        </w:rPr>
        <w:t xml:space="preserve">U. </w:t>
      </w:r>
      <w:r w:rsidRPr="003A59C0">
        <w:rPr>
          <w:rFonts w:ascii="Times New Roman" w:hAnsi="Times New Roman" w:cs="Times New Roman"/>
          <w:sz w:val="24"/>
          <w:szCs w:val="24"/>
          <w:lang w:val="en-US"/>
        </w:rPr>
        <w:t>Teichl</w:t>
      </w:r>
      <w:r w:rsidR="000C3F1A" w:rsidRPr="003A59C0">
        <w:rPr>
          <w:rFonts w:ascii="Times New Roman" w:hAnsi="Times New Roman" w:cs="Times New Roman"/>
          <w:sz w:val="24"/>
          <w:szCs w:val="24"/>
          <w:lang w:val="en-US"/>
        </w:rPr>
        <w:t>er</w:t>
      </w:r>
      <w:r w:rsidRPr="003A59C0">
        <w:rPr>
          <w:rFonts w:ascii="Times New Roman" w:hAnsi="Times New Roman" w:cs="Times New Roman"/>
          <w:sz w:val="24"/>
          <w:szCs w:val="24"/>
          <w:lang w:val="en-US"/>
        </w:rPr>
        <w:t xml:space="preserve"> (2007).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Massification and Diversity of Higher Education Systems: Interplay of Complex Dimensions</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Higher Education Policy</w:t>
      </w:r>
      <w:r w:rsidRPr="003A59C0">
        <w:rPr>
          <w:rFonts w:ascii="Times New Roman" w:hAnsi="Times New Roman" w:cs="Times New Roman"/>
          <w:sz w:val="24"/>
          <w:szCs w:val="24"/>
          <w:lang w:val="en-US"/>
        </w:rPr>
        <w:t xml:space="preserve"> 20</w:t>
      </w:r>
      <w:r w:rsidR="00EF28BB" w:rsidRPr="003A59C0">
        <w:rPr>
          <w:rFonts w:ascii="Times New Roman" w:hAnsi="Times New Roman" w:cs="Times New Roman"/>
          <w:sz w:val="24"/>
          <w:szCs w:val="24"/>
          <w:lang w:val="en-US"/>
        </w:rPr>
        <w:t xml:space="preserve">: </w:t>
      </w:r>
      <w:r w:rsidRPr="003A59C0">
        <w:rPr>
          <w:rFonts w:ascii="Times New Roman" w:hAnsi="Times New Roman" w:cs="Times New Roman"/>
          <w:sz w:val="24"/>
          <w:szCs w:val="24"/>
          <w:lang w:val="en-US"/>
        </w:rPr>
        <w:t>373</w:t>
      </w:r>
      <w:r w:rsidR="00EF28BB" w:rsidRPr="003A59C0">
        <w:rPr>
          <w:rFonts w:ascii="Times New Roman" w:hAnsi="Times New Roman" w:cs="Times New Roman"/>
          <w:sz w:val="24"/>
          <w:szCs w:val="24"/>
          <w:lang w:val="en-US"/>
        </w:rPr>
        <w:t>–389</w:t>
      </w:r>
      <w:r w:rsidRPr="003A59C0">
        <w:rPr>
          <w:rFonts w:ascii="Times New Roman" w:hAnsi="Times New Roman" w:cs="Times New Roman"/>
          <w:sz w:val="24"/>
          <w:szCs w:val="24"/>
          <w:lang w:val="en-US"/>
        </w:rPr>
        <w:t>.</w:t>
      </w:r>
    </w:p>
    <w:p w:rsidR="008C4678" w:rsidRPr="003A59C0" w:rsidRDefault="008C4678"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Huisman, J. (1995). Differentiation, Diversity and Dependency in Higher Education: A Theoretical and Empirical Analysis. Utrecht: Lemma.</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Huisman, G., P. Maassen and G. Neave (eds.)(2001). </w:t>
      </w:r>
      <w:r w:rsidRPr="003A59C0">
        <w:rPr>
          <w:rFonts w:ascii="Times New Roman" w:hAnsi="Times New Roman" w:cs="Times New Roman"/>
          <w:i/>
          <w:sz w:val="24"/>
          <w:szCs w:val="24"/>
          <w:lang w:val="en-US"/>
        </w:rPr>
        <w:t>Higher Education and the Nation State</w:t>
      </w:r>
      <w:r w:rsidRPr="003A59C0">
        <w:rPr>
          <w:rFonts w:ascii="Times New Roman" w:hAnsi="Times New Roman" w:cs="Times New Roman"/>
          <w:sz w:val="24"/>
          <w:szCs w:val="24"/>
          <w:lang w:val="en-US"/>
        </w:rPr>
        <w:t>. Oxford</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Elsevier/ Pergamon.</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Huisman, J., Meek, L. and Wood, F. (2007).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Institutional diversity in higher education: A cross-national and longitudinal analysis</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Higher Education Quarterly</w:t>
      </w:r>
      <w:r w:rsidRPr="003A59C0">
        <w:rPr>
          <w:rFonts w:ascii="Times New Roman" w:hAnsi="Times New Roman" w:cs="Times New Roman"/>
          <w:sz w:val="24"/>
          <w:szCs w:val="24"/>
          <w:lang w:val="en-US"/>
        </w:rPr>
        <w:t xml:space="preserve"> 61 (4)</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563-577.</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Huisman, J. and Van Vught, F. A. (2009).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Diversity in European Higher Education: Historical trends and Current Polices</w:t>
      </w:r>
      <w:r w:rsidR="00EF28BB" w:rsidRPr="003A59C0">
        <w:rPr>
          <w:rFonts w:ascii="Times New Roman" w:hAnsi="Times New Roman" w:cs="Times New Roman"/>
          <w:sz w:val="24"/>
          <w:szCs w:val="24"/>
          <w:lang w:val="en-US"/>
        </w:rPr>
        <w:t>”</w:t>
      </w:r>
      <w:r w:rsidR="000C3F1A" w:rsidRPr="003A59C0">
        <w:rPr>
          <w:rFonts w:ascii="Times New Roman" w:hAnsi="Times New Roman" w:cs="Times New Roman"/>
          <w:sz w:val="24"/>
          <w:szCs w:val="24"/>
          <w:lang w:val="en-US"/>
        </w:rPr>
        <w:t xml:space="preserve">. In Van Vught, F. A. (ed.) </w:t>
      </w:r>
      <w:r w:rsidRPr="003A59C0">
        <w:rPr>
          <w:rFonts w:ascii="Times New Roman" w:hAnsi="Times New Roman" w:cs="Times New Roman"/>
          <w:i/>
          <w:sz w:val="24"/>
          <w:szCs w:val="24"/>
          <w:lang w:val="en-US"/>
        </w:rPr>
        <w:t>Mapping the higher education landscape: towards a European classification of higher education</w:t>
      </w:r>
      <w:r w:rsidRPr="003A59C0">
        <w:rPr>
          <w:rFonts w:ascii="Times New Roman" w:hAnsi="Times New Roman" w:cs="Times New Roman"/>
          <w:sz w:val="24"/>
          <w:szCs w:val="24"/>
          <w:lang w:val="en-US"/>
        </w:rPr>
        <w:t>. Dordrecht: Springer.</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Kivinen, O. and R. Rinne (1996).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The Problem of Diversification in Higher Education: Countertendencies Between Divergence and Convergence in the Finnish Higher Education System Since the 1950s</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In V.L. Meek, L. Goedegebuure, O. Kivinen and R. Rinne (eds.). </w:t>
      </w:r>
      <w:r w:rsidRPr="003A59C0">
        <w:rPr>
          <w:rFonts w:ascii="Times New Roman" w:hAnsi="Times New Roman" w:cs="Times New Roman"/>
          <w:i/>
          <w:sz w:val="24"/>
          <w:szCs w:val="24"/>
          <w:lang w:val="en-US"/>
        </w:rPr>
        <w:t>The Mockers and the Mocked: Comparative Perspectives on Differentiation, Co</w:t>
      </w:r>
      <w:r w:rsidR="00016709" w:rsidRPr="003A59C0">
        <w:rPr>
          <w:rFonts w:ascii="Times New Roman" w:hAnsi="Times New Roman" w:cs="Times New Roman"/>
          <w:i/>
          <w:sz w:val="24"/>
          <w:szCs w:val="24"/>
          <w:lang w:val="en-US"/>
        </w:rPr>
        <w:t>n</w:t>
      </w:r>
      <w:r w:rsidRPr="003A59C0">
        <w:rPr>
          <w:rFonts w:ascii="Times New Roman" w:hAnsi="Times New Roman" w:cs="Times New Roman"/>
          <w:i/>
          <w:sz w:val="24"/>
          <w:szCs w:val="24"/>
          <w:lang w:val="en-US"/>
        </w:rPr>
        <w:t>vergence and Diversity in Higher Education</w:t>
      </w:r>
      <w:r w:rsidR="00016709" w:rsidRPr="003A59C0">
        <w:rPr>
          <w:rFonts w:ascii="Times New Roman" w:hAnsi="Times New Roman" w:cs="Times New Roman"/>
          <w:sz w:val="24"/>
          <w:szCs w:val="24"/>
          <w:lang w:val="en-US"/>
        </w:rPr>
        <w:t>. Oxford:</w:t>
      </w:r>
      <w:r w:rsidRPr="003A59C0">
        <w:rPr>
          <w:rFonts w:ascii="Times New Roman" w:hAnsi="Times New Roman" w:cs="Times New Roman"/>
          <w:sz w:val="24"/>
          <w:szCs w:val="24"/>
          <w:lang w:val="en-US"/>
        </w:rPr>
        <w:t xml:space="preserve"> Permagon.</w:t>
      </w:r>
    </w:p>
    <w:p w:rsidR="00016709" w:rsidRPr="003A59C0" w:rsidRDefault="00016709"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Kehm, B., Huisman, J. &amp; Stensaker, B. (2009). </w:t>
      </w:r>
      <w:r w:rsidRPr="003A59C0">
        <w:rPr>
          <w:rFonts w:ascii="Times New Roman" w:hAnsi="Times New Roman" w:cs="Times New Roman"/>
          <w:i/>
          <w:sz w:val="24"/>
          <w:szCs w:val="24"/>
          <w:lang w:val="en-US"/>
        </w:rPr>
        <w:t>The European Higher Education Area: Perspectives on a Moving Target</w:t>
      </w:r>
      <w:r w:rsidRPr="003A59C0">
        <w:rPr>
          <w:rFonts w:ascii="Times New Roman" w:hAnsi="Times New Roman" w:cs="Times New Roman"/>
          <w:sz w:val="24"/>
          <w:szCs w:val="24"/>
          <w:lang w:val="en-US"/>
        </w:rPr>
        <w:t>. Rotterdam: Sense Publishers.</w:t>
      </w:r>
    </w:p>
    <w:p w:rsidR="002C3132" w:rsidRPr="003A59C0" w:rsidRDefault="002C3132" w:rsidP="002C3132">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Klemenčič, M. (2012). Higher education reforms in the Western Balkans – exploring institutional differentiation, diversification and diversity. In Panel presentation Higher education reforms in the Western Balkans – an internationalisation perspective. Annual Conference of Higher Education researchers. Belgrade: 10-12. September 2012. Pp. 25-47.</w:t>
      </w:r>
    </w:p>
    <w:p w:rsidR="008C4678" w:rsidRPr="003A59C0" w:rsidRDefault="008C4678" w:rsidP="002C3132">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Meek, V.L., Goedegebuure, L., Kivinen, O., and Rinne, R. (eds). (1996). </w:t>
      </w:r>
      <w:r w:rsidRPr="003A59C0">
        <w:rPr>
          <w:rFonts w:ascii="Times New Roman" w:hAnsi="Times New Roman" w:cs="Times New Roman"/>
          <w:i/>
          <w:sz w:val="24"/>
          <w:szCs w:val="24"/>
          <w:lang w:val="en-US"/>
        </w:rPr>
        <w:t>The Mockers and Mocked: comparative perspectives on diversity, differentiation and convergence in higher education</w:t>
      </w:r>
      <w:r w:rsidRPr="003A59C0">
        <w:rPr>
          <w:rFonts w:ascii="Times New Roman" w:hAnsi="Times New Roman" w:cs="Times New Roman"/>
          <w:sz w:val="24"/>
          <w:szCs w:val="24"/>
          <w:lang w:val="en-US"/>
        </w:rPr>
        <w:t>. Oxford: Pergamon.</w:t>
      </w:r>
    </w:p>
    <w:p w:rsidR="008C4678" w:rsidRPr="003A59C0" w:rsidRDefault="008C4678" w:rsidP="002C3132">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Meek, V.L. and Wood, F.Q. (1998). </w:t>
      </w:r>
      <w:r w:rsidRPr="003A59C0">
        <w:rPr>
          <w:rFonts w:ascii="Times New Roman" w:hAnsi="Times New Roman" w:cs="Times New Roman"/>
          <w:i/>
          <w:sz w:val="24"/>
          <w:szCs w:val="24"/>
          <w:lang w:val="en-US"/>
        </w:rPr>
        <w:t>Managing Higher Education Diversity in a climate of Public Sector Reform</w:t>
      </w:r>
      <w:r w:rsidRPr="003A59C0">
        <w:rPr>
          <w:rFonts w:ascii="Times New Roman" w:hAnsi="Times New Roman" w:cs="Times New Roman"/>
          <w:sz w:val="24"/>
          <w:szCs w:val="24"/>
          <w:lang w:val="en-US"/>
        </w:rPr>
        <w:t>. Canberra: AGPS.</w:t>
      </w:r>
    </w:p>
    <w:p w:rsidR="00452CAC" w:rsidRPr="003A59C0" w:rsidRDefault="00452CAC" w:rsidP="002C3132">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Meek, V.L., Huisman, J., and Goedegebuure, L. (2000). “Understanding diversity and differentiation in higher education: an overview” </w:t>
      </w:r>
      <w:r w:rsidRPr="003A59C0">
        <w:rPr>
          <w:rFonts w:ascii="Times New Roman" w:hAnsi="Times New Roman" w:cs="Times New Roman"/>
          <w:i/>
          <w:sz w:val="24"/>
          <w:szCs w:val="24"/>
          <w:lang w:val="en-US"/>
        </w:rPr>
        <w:t>Higher Education Policy</w:t>
      </w:r>
      <w:r w:rsidRPr="003A59C0">
        <w:rPr>
          <w:rFonts w:ascii="Times New Roman" w:hAnsi="Times New Roman" w:cs="Times New Roman"/>
          <w:sz w:val="24"/>
          <w:szCs w:val="24"/>
          <w:lang w:val="en-US"/>
        </w:rPr>
        <w:t xml:space="preserve"> 13(1): 1-6.</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Neave, G. (2000).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Diversity, differentiation and the market: the debate we never had but which we ought to have done</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Pr="003A59C0">
        <w:rPr>
          <w:rFonts w:ascii="Times New Roman" w:hAnsi="Times New Roman" w:cs="Times New Roman"/>
          <w:i/>
          <w:sz w:val="24"/>
          <w:szCs w:val="24"/>
          <w:lang w:val="en-US"/>
        </w:rPr>
        <w:t>Higher Education Policy</w:t>
      </w:r>
      <w:r w:rsidR="00EF28BB" w:rsidRPr="003A59C0">
        <w:rPr>
          <w:rFonts w:ascii="Times New Roman" w:hAnsi="Times New Roman" w:cs="Times New Roman"/>
          <w:sz w:val="24"/>
          <w:szCs w:val="24"/>
          <w:lang w:val="en-US"/>
        </w:rPr>
        <w:t xml:space="preserve"> </w:t>
      </w:r>
      <w:r w:rsidRPr="003A59C0">
        <w:rPr>
          <w:rFonts w:ascii="Times New Roman" w:hAnsi="Times New Roman" w:cs="Times New Roman"/>
          <w:sz w:val="24"/>
          <w:szCs w:val="24"/>
          <w:lang w:val="en-US"/>
        </w:rPr>
        <w:t>13</w:t>
      </w:r>
      <w:r w:rsidR="00EF28BB" w:rsidRPr="003A59C0">
        <w:rPr>
          <w:rFonts w:ascii="Times New Roman" w:hAnsi="Times New Roman" w:cs="Times New Roman"/>
          <w:sz w:val="24"/>
          <w:szCs w:val="24"/>
          <w:lang w:val="en-US"/>
        </w:rPr>
        <w:t>(1):</w:t>
      </w:r>
      <w:r w:rsidRPr="003A59C0">
        <w:rPr>
          <w:rFonts w:ascii="Times New Roman" w:hAnsi="Times New Roman" w:cs="Times New Roman"/>
          <w:sz w:val="24"/>
          <w:szCs w:val="24"/>
          <w:lang w:val="en-US"/>
        </w:rPr>
        <w:t xml:space="preserve"> 7-21.</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Reichert, S. (2009). </w:t>
      </w:r>
      <w:r w:rsidRPr="003A59C0">
        <w:rPr>
          <w:rFonts w:ascii="Times New Roman" w:hAnsi="Times New Roman" w:cs="Times New Roman"/>
          <w:i/>
          <w:sz w:val="24"/>
          <w:szCs w:val="24"/>
          <w:lang w:val="en-US"/>
        </w:rPr>
        <w:t>Institutional Diversity in Europe. Study on Institutional Diversity and Differentiation in Five National Systems of Higher Education in Europe (England, France, Norway, Slovakia, Switzerland).</w:t>
      </w:r>
      <w:r w:rsidRPr="003A59C0">
        <w:rPr>
          <w:rFonts w:ascii="Times New Roman" w:hAnsi="Times New Roman" w:cs="Times New Roman"/>
          <w:sz w:val="24"/>
          <w:szCs w:val="24"/>
          <w:lang w:val="en-US"/>
        </w:rPr>
        <w:t xml:space="preserve"> Brussels: European University Association.</w:t>
      </w:r>
    </w:p>
    <w:p w:rsidR="004E0D0B" w:rsidRPr="003A59C0" w:rsidRDefault="004E0D0B" w:rsidP="006E008A">
      <w:pPr>
        <w:jc w:val="both"/>
        <w:rPr>
          <w:rFonts w:ascii="Times New Roman" w:hAnsi="Times New Roman" w:cs="Times New Roman"/>
          <w:i/>
          <w:sz w:val="24"/>
          <w:szCs w:val="24"/>
          <w:lang w:val="en-US"/>
        </w:rPr>
      </w:pPr>
      <w:r w:rsidRPr="003A59C0">
        <w:rPr>
          <w:rFonts w:ascii="Times New Roman" w:hAnsi="Times New Roman" w:cs="Times New Roman"/>
          <w:sz w:val="24"/>
          <w:szCs w:val="24"/>
          <w:lang w:val="en-US"/>
        </w:rPr>
        <w:t>Teichler, U. (2008)</w:t>
      </w:r>
      <w:r w:rsidR="007A1B81"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xml:space="preserve"> </w:t>
      </w:r>
      <w:r w:rsidR="007A1B81" w:rsidRPr="003A59C0">
        <w:rPr>
          <w:rFonts w:ascii="Times New Roman" w:hAnsi="Times New Roman" w:cs="Times New Roman"/>
          <w:sz w:val="24"/>
          <w:szCs w:val="24"/>
          <w:lang w:val="en-US"/>
        </w:rPr>
        <w:t>“Diversification? Trends and explanations of the shape and size of higher education.</w:t>
      </w:r>
      <w:r w:rsidR="007A1B81" w:rsidRPr="003A59C0">
        <w:rPr>
          <w:rFonts w:ascii="Times New Roman" w:hAnsi="Times New Roman" w:cs="Times New Roman"/>
          <w:i/>
          <w:sz w:val="24"/>
          <w:szCs w:val="24"/>
          <w:lang w:val="en-US"/>
        </w:rPr>
        <w:t xml:space="preserve">” Higher Education </w:t>
      </w:r>
      <w:r w:rsidR="007A1B81" w:rsidRPr="003A59C0">
        <w:rPr>
          <w:rFonts w:ascii="Times New Roman" w:hAnsi="Times New Roman" w:cs="Times New Roman"/>
          <w:sz w:val="24"/>
          <w:szCs w:val="24"/>
          <w:lang w:val="en-US"/>
        </w:rPr>
        <w:t>56(3): 349-379</w:t>
      </w:r>
      <w:r w:rsidR="007A1B81" w:rsidRPr="003A59C0">
        <w:rPr>
          <w:rFonts w:ascii="Times New Roman" w:hAnsi="Times New Roman" w:cs="Times New Roman"/>
          <w:i/>
          <w:sz w:val="24"/>
          <w:szCs w:val="24"/>
          <w:lang w:val="en-US"/>
        </w:rPr>
        <w:t xml:space="preserve">. </w:t>
      </w:r>
    </w:p>
    <w:p w:rsidR="007A1B81" w:rsidRPr="008461F4" w:rsidRDefault="007A1B81" w:rsidP="007A1B81">
      <w:pPr>
        <w:jc w:val="both"/>
        <w:rPr>
          <w:rFonts w:ascii="Times New Roman" w:hAnsi="Times New Roman" w:cs="Times New Roman"/>
          <w:sz w:val="24"/>
          <w:szCs w:val="24"/>
          <w:lang w:val="en-US"/>
        </w:rPr>
      </w:pPr>
      <w:r w:rsidRPr="008461F4">
        <w:rPr>
          <w:rFonts w:ascii="Times New Roman" w:hAnsi="Times New Roman" w:cs="Times New Roman"/>
          <w:sz w:val="24"/>
          <w:szCs w:val="24"/>
          <w:lang w:val="en-US"/>
        </w:rPr>
        <w:t>Teixteira, N. P., Rocha, V., Biscaia, R. and Fonseca Cardoso, M. (2012). “Competition and diversity in higher education: an empirical approach to specialization patterns of Portuguese institutions.” Higher Education 63(3) : 337-352.</w:t>
      </w:r>
      <w:bookmarkStart w:id="0" w:name="_GoBack"/>
      <w:bookmarkEnd w:id="0"/>
    </w:p>
    <w:p w:rsidR="00085C67" w:rsidRPr="003A59C0" w:rsidRDefault="00085C67" w:rsidP="007A1B81">
      <w:pPr>
        <w:jc w:val="both"/>
        <w:rPr>
          <w:rFonts w:ascii="Times New Roman" w:hAnsi="Times New Roman" w:cs="Times New Roman"/>
          <w:sz w:val="24"/>
          <w:szCs w:val="24"/>
          <w:lang w:val="en-US"/>
        </w:rPr>
      </w:pPr>
      <w:r w:rsidRPr="008461F4">
        <w:rPr>
          <w:rFonts w:ascii="Times New Roman" w:hAnsi="Times New Roman" w:cs="Times New Roman"/>
          <w:sz w:val="24"/>
          <w:szCs w:val="24"/>
          <w:lang w:val="en-US"/>
        </w:rPr>
        <w:t>Teixeira, P, Rocha V, Biscaia R, Cardoso MF. (2012). “Public-Private Mix and Patterns of Program Diversification Across European Higher Education”, CHER 2010, The Consortium of Higher Education Researchers 24th Annual Conference, What are the prospects for higher education in the 21st century? Ideas, research and policy, Reykjavík, Iceland, 23-25 June, 2011.</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Vukasović, M. (ed.) (2009). </w:t>
      </w:r>
      <w:r w:rsidRPr="003A59C0">
        <w:rPr>
          <w:rFonts w:ascii="Times New Roman" w:hAnsi="Times New Roman" w:cs="Times New Roman"/>
          <w:i/>
          <w:sz w:val="24"/>
          <w:szCs w:val="24"/>
          <w:lang w:val="en-US"/>
        </w:rPr>
        <w:t>Financing Higher education in SEE: Albania, Croatia, Montenegro, Serbia, Slovenia</w:t>
      </w:r>
      <w:r w:rsidRPr="003A59C0">
        <w:rPr>
          <w:rFonts w:ascii="Times New Roman" w:hAnsi="Times New Roman" w:cs="Times New Roman"/>
          <w:sz w:val="24"/>
          <w:szCs w:val="24"/>
          <w:lang w:val="en-US"/>
        </w:rPr>
        <w:t>. Belgrade: Centre for Education Policy.</w:t>
      </w:r>
    </w:p>
    <w:p w:rsidR="000C3F1A" w:rsidRPr="003A59C0" w:rsidRDefault="000C3F1A" w:rsidP="000C3F1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Vukasović, M. (2012). European Integration in Higher Education in the Western Balkan Countries. A review of literature. EIHER-WBC Working paper Series. Working Paper, No. 1, October 2012. </w:t>
      </w:r>
    </w:p>
    <w:p w:rsidR="00F05F58" w:rsidRPr="003A59C0" w:rsidRDefault="00F05F58" w:rsidP="00F05F58">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Westerheijden, D. F., Beerkens, E., Cremonini, L., Huisman, J., Kehm, B., Kovac, A., et al. (2010). </w:t>
      </w:r>
      <w:r w:rsidRPr="003A59C0">
        <w:rPr>
          <w:rFonts w:ascii="Times New Roman" w:hAnsi="Times New Roman" w:cs="Times New Roman"/>
          <w:i/>
          <w:sz w:val="24"/>
          <w:szCs w:val="24"/>
          <w:lang w:val="en-US"/>
        </w:rPr>
        <w:t>The first decade of working on the European HE area: The Bologna process independent assessment – Vol. 1 detailed assessment report</w:t>
      </w:r>
      <w:r w:rsidRPr="003A59C0">
        <w:rPr>
          <w:rFonts w:ascii="Times New Roman" w:hAnsi="Times New Roman" w:cs="Times New Roman"/>
          <w:sz w:val="24"/>
          <w:szCs w:val="24"/>
          <w:lang w:val="en-US"/>
        </w:rPr>
        <w:t>. Brussels: European Commission, Directorate General for Education and Culture.</w:t>
      </w:r>
    </w:p>
    <w:p w:rsidR="00906BF5" w:rsidRPr="003A59C0" w:rsidRDefault="00906BF5" w:rsidP="00F05F58">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Zgaga, P. (2008). Review of Tempus Structural Measures (2003-2006). Brussels: European Commission.</w:t>
      </w:r>
    </w:p>
    <w:p w:rsidR="004E0D0B" w:rsidRPr="003A59C0" w:rsidRDefault="004E0D0B" w:rsidP="006E008A">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Zgaga, P. (2010). </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The Role of Higher Education in National Development. South-Eastern Europe and Reconstruction of the Western Balkans</w:t>
      </w:r>
      <w:r w:rsidR="00EF28BB" w:rsidRPr="003A59C0">
        <w:rPr>
          <w:rFonts w:ascii="Times New Roman" w:hAnsi="Times New Roman" w:cs="Times New Roman"/>
          <w:sz w:val="24"/>
          <w:szCs w:val="24"/>
          <w:lang w:val="en-US"/>
        </w:rPr>
        <w:t>”</w:t>
      </w:r>
      <w:r w:rsidRPr="003A59C0">
        <w:rPr>
          <w:rFonts w:ascii="Times New Roman" w:hAnsi="Times New Roman" w:cs="Times New Roman"/>
          <w:sz w:val="24"/>
          <w:szCs w:val="24"/>
          <w:lang w:val="en-US"/>
        </w:rPr>
        <w:t>. The Europa World of Learning 2011. London; New York: Routledge 2010</w:t>
      </w:r>
      <w:r w:rsidR="00EF28BB" w:rsidRPr="003A59C0">
        <w:rPr>
          <w:rFonts w:ascii="Times New Roman" w:hAnsi="Times New Roman" w:cs="Times New Roman"/>
          <w:sz w:val="24"/>
          <w:szCs w:val="24"/>
          <w:lang w:val="en-US"/>
        </w:rPr>
        <w:t xml:space="preserve">: </w:t>
      </w:r>
      <w:r w:rsidRPr="003A59C0">
        <w:rPr>
          <w:rFonts w:ascii="Times New Roman" w:hAnsi="Times New Roman" w:cs="Times New Roman"/>
          <w:sz w:val="24"/>
          <w:szCs w:val="24"/>
          <w:lang w:val="en-US"/>
        </w:rPr>
        <w:t>19-24</w:t>
      </w:r>
      <w:r w:rsidR="00EF28BB" w:rsidRPr="003A59C0">
        <w:rPr>
          <w:rFonts w:ascii="Times New Roman" w:hAnsi="Times New Roman" w:cs="Times New Roman"/>
          <w:sz w:val="24"/>
          <w:szCs w:val="24"/>
          <w:lang w:val="en-US"/>
        </w:rPr>
        <w:t xml:space="preserve">. </w:t>
      </w:r>
      <w:hyperlink r:id="rId9" w:history="1">
        <w:r w:rsidR="00DE5CDE" w:rsidRPr="003A59C0">
          <w:rPr>
            <w:rStyle w:val="Hyperlink"/>
            <w:rFonts w:ascii="Times New Roman" w:hAnsi="Times New Roman" w:cs="Times New Roman"/>
            <w:sz w:val="24"/>
            <w:szCs w:val="24"/>
            <w:lang w:val="en-US"/>
          </w:rPr>
          <w:t>http://bit.ly/rf4MpT</w:t>
        </w:r>
      </w:hyperlink>
    </w:p>
    <w:p w:rsidR="00DE5CDE" w:rsidRPr="003A59C0" w:rsidRDefault="00DE5CDE" w:rsidP="002C3132">
      <w:pPr>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Zgaga, P. (2012) </w:t>
      </w:r>
      <w:r w:rsidR="002C3132" w:rsidRPr="003A59C0">
        <w:rPr>
          <w:rFonts w:ascii="Times New Roman" w:hAnsi="Times New Roman" w:cs="Times New Roman"/>
          <w:sz w:val="24"/>
          <w:szCs w:val="24"/>
          <w:lang w:val="en-US"/>
        </w:rPr>
        <w:t>Exploring higher education reforms in the Western Balkans. In Panel presentation Higher education reforms in the Western Balkans – an internationalisation perspective. Annual Conference of Higher Education researchers. Belgrade: 10-12. September 2012. Pp. 3-25.</w:t>
      </w:r>
    </w:p>
    <w:p w:rsidR="000C3F1A" w:rsidRPr="003A59C0" w:rsidRDefault="000C3F1A" w:rsidP="006E008A">
      <w:pPr>
        <w:jc w:val="both"/>
        <w:rPr>
          <w:rFonts w:ascii="Times New Roman" w:hAnsi="Times New Roman" w:cs="Times New Roman"/>
          <w:b/>
          <w:sz w:val="24"/>
          <w:szCs w:val="24"/>
          <w:lang w:val="en-US"/>
        </w:rPr>
      </w:pPr>
    </w:p>
    <w:p w:rsidR="004E0D0B" w:rsidRPr="003A59C0" w:rsidRDefault="004E0D0B" w:rsidP="006E008A">
      <w:pPr>
        <w:jc w:val="both"/>
        <w:rPr>
          <w:rFonts w:ascii="Times New Roman" w:hAnsi="Times New Roman" w:cs="Times New Roman"/>
          <w:b/>
          <w:sz w:val="24"/>
          <w:szCs w:val="24"/>
          <w:lang w:val="en-US"/>
        </w:rPr>
      </w:pPr>
      <w:r w:rsidRPr="003A59C0">
        <w:rPr>
          <w:rFonts w:ascii="Times New Roman" w:hAnsi="Times New Roman" w:cs="Times New Roman"/>
          <w:b/>
          <w:sz w:val="24"/>
          <w:szCs w:val="24"/>
          <w:lang w:val="en-US"/>
        </w:rPr>
        <w:t xml:space="preserve">Primary sources </w:t>
      </w:r>
    </w:p>
    <w:p w:rsidR="004E0D0B" w:rsidRPr="003A59C0" w:rsidRDefault="004E0D0B" w:rsidP="002252C3">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Albania (2008). National Strategy for Higher Education 2008-2013. No.1509, dated 30/7/2008.</w:t>
      </w:r>
    </w:p>
    <w:p w:rsidR="004E0D0B" w:rsidRPr="003A59C0" w:rsidRDefault="004E0D0B" w:rsidP="002252C3">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Croatia (2003). Zakon o znanstvenoj djelatonsti i visokom obrazovanju</w:t>
      </w:r>
      <w:r w:rsidR="007904B1" w:rsidRPr="003A59C0">
        <w:rPr>
          <w:rFonts w:ascii="Times New Roman" w:hAnsi="Times New Roman" w:cs="Times New Roman"/>
          <w:sz w:val="24"/>
          <w:szCs w:val="24"/>
          <w:lang w:val="en-US"/>
        </w:rPr>
        <w:t xml:space="preserve"> [Law for research and higher education]</w:t>
      </w:r>
      <w:r w:rsidRPr="003A59C0">
        <w:rPr>
          <w:rFonts w:ascii="Times New Roman" w:hAnsi="Times New Roman" w:cs="Times New Roman"/>
          <w:sz w:val="24"/>
          <w:szCs w:val="24"/>
          <w:lang w:val="en-US"/>
        </w:rPr>
        <w:t xml:space="preserve"> (“Narodne novine” br. 123/03, 198/03, 105/04, 174/04, 46/07).</w:t>
      </w:r>
    </w:p>
    <w:p w:rsidR="004E0D0B" w:rsidRDefault="004E0D0B" w:rsidP="002252C3">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Croatia (2005). Plan razvoja sustava odgoja i obrazovanja 2005. - 2010. </w:t>
      </w:r>
      <w:r w:rsidR="00C75576" w:rsidRPr="003A59C0">
        <w:rPr>
          <w:rFonts w:ascii="Times New Roman" w:hAnsi="Times New Roman" w:cs="Times New Roman"/>
          <w:sz w:val="24"/>
          <w:szCs w:val="24"/>
          <w:lang w:val="en-US"/>
        </w:rPr>
        <w:t>[</w:t>
      </w:r>
      <w:r w:rsidR="007904B1" w:rsidRPr="003A59C0">
        <w:rPr>
          <w:rFonts w:ascii="Times New Roman" w:hAnsi="Times New Roman" w:cs="Times New Roman"/>
          <w:sz w:val="24"/>
          <w:szCs w:val="24"/>
          <w:lang w:val="en-US"/>
        </w:rPr>
        <w:t>T</w:t>
      </w:r>
      <w:r w:rsidR="00C75576" w:rsidRPr="003A59C0">
        <w:rPr>
          <w:rFonts w:ascii="Times New Roman" w:hAnsi="Times New Roman" w:cs="Times New Roman"/>
          <w:sz w:val="24"/>
          <w:szCs w:val="24"/>
          <w:lang w:val="en-US"/>
        </w:rPr>
        <w:t>he Development Plan for Education 2005 to 2010].</w:t>
      </w:r>
      <w:r w:rsidRPr="003A59C0">
        <w:rPr>
          <w:rFonts w:ascii="Times New Roman" w:hAnsi="Times New Roman" w:cs="Times New Roman"/>
          <w:sz w:val="24"/>
          <w:szCs w:val="24"/>
          <w:lang w:val="en-US"/>
        </w:rPr>
        <w:t>Ministarstvo znanosti, obrazovanja i sporta. Zagreb, 2005.</w:t>
      </w:r>
    </w:p>
    <w:p w:rsidR="004A2E58" w:rsidRPr="003A59C0" w:rsidRDefault="004A2E58" w:rsidP="002252C3">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Croatia (2007). </w:t>
      </w:r>
      <w:r w:rsidRPr="004A2E58">
        <w:rPr>
          <w:rFonts w:ascii="Times New Roman" w:hAnsi="Times New Roman" w:cs="Times New Roman"/>
          <w:sz w:val="24"/>
          <w:szCs w:val="24"/>
          <w:lang w:val="en-US"/>
        </w:rPr>
        <w:t>Science and Technology Policy of the Republic of Croatia 2006-2010</w:t>
      </w:r>
      <w:r>
        <w:rPr>
          <w:rFonts w:ascii="Times New Roman" w:hAnsi="Times New Roman" w:cs="Times New Roman"/>
          <w:sz w:val="24"/>
          <w:szCs w:val="24"/>
          <w:lang w:val="en-US"/>
        </w:rPr>
        <w:t xml:space="preserve">. </w:t>
      </w:r>
    </w:p>
    <w:p w:rsidR="004E0D0B" w:rsidRPr="003A59C0" w:rsidRDefault="004E0D0B" w:rsidP="002252C3">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Croatia (2011). Draft Law on Universities [Nacrt prijedloga zakona o sveu</w:t>
      </w:r>
      <w:r w:rsidRPr="003A59C0">
        <w:rPr>
          <w:rFonts w:ascii="Times New Roman" w:hAnsi="Times New Roman" w:cs="Times New Roman"/>
          <w:sz w:val="24"/>
          <w:szCs w:val="24"/>
          <w:lang w:val="sl-SI"/>
        </w:rPr>
        <w:t>čilištu</w:t>
      </w:r>
      <w:r w:rsidRPr="003A59C0">
        <w:rPr>
          <w:rFonts w:ascii="Times New Roman" w:hAnsi="Times New Roman" w:cs="Times New Roman"/>
          <w:sz w:val="24"/>
          <w:szCs w:val="24"/>
          <w:lang w:val="en-US"/>
        </w:rPr>
        <w:t>]. Zagreb: January 2011.</w:t>
      </w:r>
    </w:p>
    <w:p w:rsidR="007904B1" w:rsidRPr="003A59C0" w:rsidRDefault="007904B1" w:rsidP="002252C3">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Croatia (2012). Nacrt prijedloga zakona o izmjenama i dopunama Zakona o znanstvenoj dijelatnosti i visokom obrazovanju [Draft proposal for amendments and additions to the L</w:t>
      </w:r>
      <w:r w:rsidR="002C3132" w:rsidRPr="003A59C0">
        <w:rPr>
          <w:rFonts w:ascii="Times New Roman" w:hAnsi="Times New Roman" w:cs="Times New Roman"/>
          <w:sz w:val="24"/>
          <w:szCs w:val="24"/>
          <w:lang w:val="en-US"/>
        </w:rPr>
        <w:t>a</w:t>
      </w:r>
      <w:r w:rsidRPr="003A59C0">
        <w:rPr>
          <w:rFonts w:ascii="Times New Roman" w:hAnsi="Times New Roman" w:cs="Times New Roman"/>
          <w:sz w:val="24"/>
          <w:szCs w:val="24"/>
          <w:lang w:val="en-US"/>
        </w:rPr>
        <w:t>w on research and HE]. Government of the Republic of Croatia. Zagreb, April 2012.</w:t>
      </w:r>
    </w:p>
    <w:p w:rsidR="00DE5CDE" w:rsidRPr="003A59C0" w:rsidRDefault="00DE5CDE" w:rsidP="00DE5CDE">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Commission (2001). Communication from the Commission to the European Parliament and the Council on Strengthening Cooperation with third Countries in the Field of Higher Education. Brussels: European Commission.</w:t>
      </w:r>
    </w:p>
    <w:p w:rsidR="00DE5CDE" w:rsidRPr="003A59C0" w:rsidRDefault="00DE5CDE" w:rsidP="00DE5CDE">
      <w:pPr>
        <w:spacing w:after="0" w:line="240" w:lineRule="auto"/>
        <w:jc w:val="both"/>
        <w:rPr>
          <w:rFonts w:ascii="Times New Roman" w:hAnsi="Times New Roman" w:cs="Times New Roman"/>
          <w:sz w:val="24"/>
          <w:szCs w:val="24"/>
        </w:rPr>
      </w:pPr>
    </w:p>
    <w:p w:rsidR="00DE5CDE" w:rsidRPr="003A59C0" w:rsidRDefault="00DE5CDE" w:rsidP="00DE5CDE">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Commission (2003). Communication from the Commission. The role of the universities in the Europe of knowledge. Brussels: European Commission.</w:t>
      </w:r>
    </w:p>
    <w:p w:rsidR="00DE5CDE" w:rsidRPr="003A59C0" w:rsidRDefault="00DE5CDE" w:rsidP="00DE5CDE">
      <w:pPr>
        <w:spacing w:after="0" w:line="240" w:lineRule="auto"/>
        <w:jc w:val="both"/>
        <w:rPr>
          <w:rFonts w:ascii="Times New Roman" w:hAnsi="Times New Roman" w:cs="Times New Roman"/>
          <w:sz w:val="24"/>
          <w:szCs w:val="24"/>
        </w:rPr>
      </w:pPr>
    </w:p>
    <w:p w:rsidR="007904B1" w:rsidRPr="003A59C0" w:rsidRDefault="00DE5CDE" w:rsidP="002252C3">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Commission (2005). Communication from the Commission. Mobilising the brainpower of Europe: enabling universities to make their full contribution to the Lisbon Strategy. Brussels: European Commission.</w:t>
      </w:r>
    </w:p>
    <w:p w:rsidR="00DE5CDE" w:rsidRPr="003A59C0" w:rsidRDefault="00DE5CDE" w:rsidP="002252C3">
      <w:pPr>
        <w:spacing w:after="0" w:line="240" w:lineRule="auto"/>
        <w:jc w:val="both"/>
        <w:rPr>
          <w:rFonts w:ascii="Times New Roman" w:hAnsi="Times New Roman" w:cs="Times New Roman"/>
          <w:sz w:val="24"/>
          <w:szCs w:val="24"/>
        </w:rPr>
      </w:pPr>
    </w:p>
    <w:p w:rsidR="007904B1" w:rsidRPr="003A59C0" w:rsidRDefault="00DE5CDE" w:rsidP="002252C3">
      <w:pPr>
        <w:spacing w:after="0" w:line="240" w:lineRule="auto"/>
        <w:jc w:val="both"/>
        <w:rPr>
          <w:rFonts w:ascii="Times New Roman" w:hAnsi="Times New Roman" w:cs="Times New Roman"/>
          <w:i/>
          <w:iCs/>
          <w:sz w:val="24"/>
          <w:szCs w:val="24"/>
        </w:rPr>
      </w:pPr>
      <w:r w:rsidRPr="003A59C0">
        <w:rPr>
          <w:rFonts w:ascii="Times New Roman" w:hAnsi="Times New Roman" w:cs="Times New Roman"/>
          <w:sz w:val="24"/>
          <w:szCs w:val="24"/>
        </w:rPr>
        <w:t>European Commission</w:t>
      </w:r>
      <w:r w:rsidR="00B128A2" w:rsidRPr="003A59C0">
        <w:rPr>
          <w:rFonts w:ascii="Times New Roman" w:hAnsi="Times New Roman" w:cs="Times New Roman"/>
          <w:sz w:val="24"/>
          <w:szCs w:val="24"/>
        </w:rPr>
        <w:t xml:space="preserve"> (2006). </w:t>
      </w:r>
      <w:r w:rsidRPr="003A59C0">
        <w:rPr>
          <w:rFonts w:ascii="Times New Roman" w:hAnsi="Times New Roman" w:cs="Times New Roman"/>
          <w:i/>
          <w:iCs/>
          <w:sz w:val="24"/>
          <w:szCs w:val="24"/>
        </w:rPr>
        <w:t>Communication from the Commission to the Council and the European Parliament. Delivering on the Modernisation Agenda for Universities: Education, Research and Innovation. Brussels: European Commission.</w:t>
      </w:r>
    </w:p>
    <w:p w:rsidR="002C3132" w:rsidRPr="003A59C0" w:rsidRDefault="002C3132" w:rsidP="002252C3">
      <w:pPr>
        <w:spacing w:after="0" w:line="240" w:lineRule="auto"/>
        <w:jc w:val="both"/>
        <w:rPr>
          <w:rFonts w:ascii="Times New Roman" w:hAnsi="Times New Roman" w:cs="Times New Roman"/>
          <w:sz w:val="24"/>
          <w:szCs w:val="24"/>
        </w:rPr>
      </w:pPr>
    </w:p>
    <w:p w:rsidR="002252C3" w:rsidRPr="003A59C0" w:rsidRDefault="00DE5CDE" w:rsidP="002252C3">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 xml:space="preserve">European Commission </w:t>
      </w:r>
      <w:r w:rsidR="00B128A2" w:rsidRPr="003A59C0">
        <w:rPr>
          <w:rFonts w:ascii="Times New Roman" w:hAnsi="Times New Roman" w:cs="Times New Roman"/>
          <w:sz w:val="24"/>
          <w:szCs w:val="24"/>
        </w:rPr>
        <w:t xml:space="preserve">(2008a). </w:t>
      </w:r>
      <w:r w:rsidR="002C3132" w:rsidRPr="003A59C0">
        <w:rPr>
          <w:rFonts w:ascii="Times New Roman" w:hAnsi="Times New Roman" w:cs="Times New Roman"/>
          <w:sz w:val="24"/>
          <w:szCs w:val="24"/>
        </w:rPr>
        <w:t>Report from the Commission to the Council on the Council Resolution of 23 November 2007 on Modernising Universities for Europe's competitiveness in a global knowledge economy. Brussels: European Commission.</w:t>
      </w:r>
    </w:p>
    <w:p w:rsidR="002C3132" w:rsidRPr="003A59C0" w:rsidRDefault="002C3132" w:rsidP="002252C3">
      <w:pPr>
        <w:spacing w:after="0" w:line="240" w:lineRule="auto"/>
        <w:jc w:val="both"/>
        <w:rPr>
          <w:rFonts w:ascii="Times New Roman" w:hAnsi="Times New Roman" w:cs="Times New Roman"/>
          <w:sz w:val="24"/>
          <w:szCs w:val="24"/>
        </w:rPr>
      </w:pPr>
    </w:p>
    <w:p w:rsidR="002252C3" w:rsidRPr="003A59C0" w:rsidRDefault="00DE5CDE" w:rsidP="002252C3">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Commission</w:t>
      </w:r>
      <w:r w:rsidR="00B128A2" w:rsidRPr="003A59C0">
        <w:rPr>
          <w:rFonts w:ascii="Times New Roman" w:hAnsi="Times New Roman" w:cs="Times New Roman"/>
          <w:sz w:val="24"/>
          <w:szCs w:val="24"/>
        </w:rPr>
        <w:t xml:space="preserve"> (2008b). </w:t>
      </w:r>
      <w:r w:rsidR="002C3132" w:rsidRPr="003A59C0">
        <w:rPr>
          <w:rFonts w:ascii="Times New Roman" w:hAnsi="Times New Roman" w:cs="Times New Roman"/>
          <w:sz w:val="24"/>
          <w:szCs w:val="24"/>
        </w:rPr>
        <w:t>Commission Staff Working Paper accompanying document to the Report from the Commission to the Council on the Council Resolution of 23 November 2007 on Modernising Universities for Europe's competitiveness in a global knowledge economy. Brussels: European Commission.</w:t>
      </w:r>
    </w:p>
    <w:p w:rsidR="004C6B2F" w:rsidRPr="003A59C0" w:rsidRDefault="004C6B2F" w:rsidP="002252C3">
      <w:pPr>
        <w:spacing w:after="0" w:line="240" w:lineRule="auto"/>
        <w:jc w:val="both"/>
        <w:rPr>
          <w:rFonts w:ascii="Times New Roman" w:hAnsi="Times New Roman" w:cs="Times New Roman"/>
          <w:sz w:val="24"/>
          <w:szCs w:val="24"/>
        </w:rPr>
      </w:pPr>
    </w:p>
    <w:p w:rsidR="004C6B2F" w:rsidRPr="003A59C0" w:rsidRDefault="004C6B2F" w:rsidP="004C6B2F">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Commission (2008c). Progress Towards the Lisbon Objectives in Education and Training – Indicators and Benchmarks; Commission Staff Working Document. Brussels: European Commission.</w:t>
      </w:r>
    </w:p>
    <w:p w:rsidR="004C6B2F" w:rsidRPr="003A59C0" w:rsidRDefault="004C6B2F" w:rsidP="002252C3">
      <w:pPr>
        <w:spacing w:after="0" w:line="240" w:lineRule="auto"/>
        <w:jc w:val="both"/>
        <w:rPr>
          <w:rFonts w:ascii="Times New Roman" w:hAnsi="Times New Roman" w:cs="Times New Roman"/>
          <w:sz w:val="24"/>
          <w:szCs w:val="24"/>
        </w:rPr>
      </w:pPr>
    </w:p>
    <w:p w:rsidR="004C6B2F" w:rsidRPr="003A59C0" w:rsidRDefault="004C6B2F" w:rsidP="004C6B2F">
      <w:pPr>
        <w:spacing w:after="0" w:line="240" w:lineRule="auto"/>
        <w:jc w:val="both"/>
        <w:rPr>
          <w:rFonts w:ascii="Times New Roman" w:hAnsi="Times New Roman" w:cs="Times New Roman"/>
          <w:sz w:val="24"/>
          <w:szCs w:val="24"/>
        </w:rPr>
      </w:pPr>
      <w:r w:rsidRPr="003A59C0">
        <w:rPr>
          <w:rFonts w:ascii="Times New Roman" w:hAnsi="Times New Roman" w:cs="Times New Roman"/>
          <w:sz w:val="24"/>
          <w:szCs w:val="24"/>
        </w:rPr>
        <w:t>EUROPEAN COUNCIL (2009). Council Conclusions on a strategic framework for European cooperation in education and training (ET 2020). Brussels: European Council.</w:t>
      </w:r>
    </w:p>
    <w:p w:rsidR="004C6B2F" w:rsidRPr="003A59C0" w:rsidRDefault="004C6B2F" w:rsidP="004C6B2F">
      <w:pPr>
        <w:spacing w:after="0" w:line="240" w:lineRule="auto"/>
        <w:jc w:val="both"/>
        <w:rPr>
          <w:rFonts w:ascii="Times New Roman" w:hAnsi="Times New Roman" w:cs="Times New Roman"/>
          <w:sz w:val="24"/>
          <w:szCs w:val="24"/>
        </w:rPr>
      </w:pPr>
    </w:p>
    <w:p w:rsidR="007904B1" w:rsidRPr="003A59C0" w:rsidRDefault="00DE5CDE" w:rsidP="007904B1">
      <w:pPr>
        <w:spacing w:after="240" w:line="240" w:lineRule="auto"/>
        <w:jc w:val="both"/>
        <w:rPr>
          <w:rFonts w:ascii="Times New Roman" w:hAnsi="Times New Roman" w:cs="Times New Roman"/>
          <w:sz w:val="24"/>
          <w:szCs w:val="24"/>
        </w:rPr>
      </w:pPr>
      <w:r w:rsidRPr="003A59C0">
        <w:rPr>
          <w:rFonts w:ascii="Times New Roman" w:hAnsi="Times New Roman" w:cs="Times New Roman"/>
          <w:sz w:val="24"/>
          <w:szCs w:val="24"/>
        </w:rPr>
        <w:t>E</w:t>
      </w:r>
      <w:r w:rsidR="002C3132" w:rsidRPr="003A59C0">
        <w:rPr>
          <w:rFonts w:ascii="Times New Roman" w:hAnsi="Times New Roman" w:cs="Times New Roman"/>
          <w:sz w:val="24"/>
          <w:szCs w:val="24"/>
        </w:rPr>
        <w:t>uropean Union (2010</w:t>
      </w:r>
      <w:r w:rsidR="002252C3" w:rsidRPr="003A59C0">
        <w:rPr>
          <w:rFonts w:ascii="Times New Roman" w:hAnsi="Times New Roman" w:cs="Times New Roman"/>
          <w:sz w:val="24"/>
          <w:szCs w:val="24"/>
        </w:rPr>
        <w:t xml:space="preserve">). </w:t>
      </w:r>
      <w:r w:rsidR="007904B1" w:rsidRPr="003A59C0">
        <w:rPr>
          <w:rFonts w:ascii="Times New Roman" w:hAnsi="Times New Roman" w:cs="Times New Roman"/>
          <w:sz w:val="24"/>
          <w:szCs w:val="24"/>
        </w:rPr>
        <w:t xml:space="preserve">The </w:t>
      </w:r>
      <w:r w:rsidR="002C3132" w:rsidRPr="003A59C0">
        <w:rPr>
          <w:rFonts w:ascii="Times New Roman" w:hAnsi="Times New Roman" w:cs="Times New Roman"/>
          <w:sz w:val="24"/>
          <w:szCs w:val="24"/>
        </w:rPr>
        <w:t>EU</w:t>
      </w:r>
      <w:r w:rsidR="007904B1" w:rsidRPr="003A59C0">
        <w:rPr>
          <w:rFonts w:ascii="Times New Roman" w:hAnsi="Times New Roman" w:cs="Times New Roman"/>
          <w:sz w:val="24"/>
          <w:szCs w:val="24"/>
        </w:rPr>
        <w:t xml:space="preserve"> contribution to the European Higher Education Area. Luxembourg: Publications Office of the European Union.</w:t>
      </w:r>
    </w:p>
    <w:p w:rsidR="001B247E" w:rsidRPr="003A59C0" w:rsidRDefault="00DE5CDE" w:rsidP="007904B1">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European Commission</w:t>
      </w:r>
      <w:r w:rsidR="001B247E" w:rsidRPr="003A59C0">
        <w:rPr>
          <w:rFonts w:ascii="Times New Roman" w:hAnsi="Times New Roman" w:cs="Times New Roman"/>
          <w:sz w:val="24"/>
          <w:szCs w:val="24"/>
          <w:lang w:val="en-US"/>
        </w:rPr>
        <w:t xml:space="preserve"> (2012). </w:t>
      </w:r>
      <w:r w:rsidR="001B247E" w:rsidRPr="003A59C0">
        <w:rPr>
          <w:rFonts w:ascii="Times New Roman" w:hAnsi="Times New Roman" w:cs="Times New Roman"/>
          <w:i/>
          <w:sz w:val="24"/>
          <w:szCs w:val="24"/>
          <w:lang w:val="en-US"/>
        </w:rPr>
        <w:t>Tempus Higher Education Reform Experts: Activity Report 2011.</w:t>
      </w:r>
      <w:r w:rsidR="001B247E" w:rsidRPr="003A59C0">
        <w:rPr>
          <w:rFonts w:ascii="Times New Roman" w:hAnsi="Times New Roman" w:cs="Times New Roman"/>
          <w:sz w:val="24"/>
          <w:szCs w:val="24"/>
          <w:lang w:val="en-US"/>
        </w:rPr>
        <w:t xml:space="preserve"> April 2012. Brussels:  EACEA – Education Audiovisual and Culture Executive Agency.</w:t>
      </w:r>
    </w:p>
    <w:p w:rsidR="004E0D0B" w:rsidRPr="003A59C0" w:rsidRDefault="004E0D0B" w:rsidP="007904B1">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Serbia (2005). National Assembly of the Republic of Serbia. Law on Higher Education, Official Gazette  of the Republic of Serbia No. 76/2005.  </w:t>
      </w:r>
    </w:p>
    <w:p w:rsidR="009013F2" w:rsidRPr="003A59C0" w:rsidRDefault="009013F2" w:rsidP="007904B1">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 xml:space="preserve">Serbia (2012) </w:t>
      </w:r>
      <w:r w:rsidR="007904B1" w:rsidRPr="003A59C0">
        <w:rPr>
          <w:rFonts w:ascii="Times New Roman" w:hAnsi="Times New Roman" w:cs="Times New Roman"/>
          <w:sz w:val="24"/>
          <w:szCs w:val="24"/>
          <w:lang w:val="en-US"/>
        </w:rPr>
        <w:t xml:space="preserve">The National Education Strategy </w:t>
      </w:r>
      <w:r w:rsidR="000B779A" w:rsidRPr="003A59C0">
        <w:rPr>
          <w:rFonts w:ascii="Times New Roman" w:hAnsi="Times New Roman" w:cs="Times New Roman"/>
          <w:sz w:val="24"/>
          <w:szCs w:val="24"/>
          <w:lang w:val="en-US"/>
        </w:rPr>
        <w:t>in Serbia until 2020. Government of Republic of Serbia</w:t>
      </w:r>
      <w:r w:rsidR="007904B1" w:rsidRPr="003A59C0">
        <w:rPr>
          <w:rFonts w:ascii="Times New Roman" w:hAnsi="Times New Roman" w:cs="Times New Roman"/>
          <w:sz w:val="24"/>
          <w:szCs w:val="24"/>
          <w:lang w:val="en-US"/>
        </w:rPr>
        <w:t>.</w:t>
      </w:r>
    </w:p>
    <w:p w:rsidR="004E0D0B" w:rsidRPr="003A59C0" w:rsidRDefault="004E0D0B" w:rsidP="007904B1">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Slovenia (2002). Republic of Slovenia Master Plan for Higher Education. Ljubljana: 26 February 2002.</w:t>
      </w:r>
    </w:p>
    <w:p w:rsidR="004E0D0B" w:rsidRPr="003A59C0" w:rsidRDefault="004E0D0B" w:rsidP="007904B1">
      <w:pPr>
        <w:spacing w:after="240" w:line="240" w:lineRule="auto"/>
        <w:jc w:val="both"/>
        <w:rPr>
          <w:rFonts w:ascii="Times New Roman" w:hAnsi="Times New Roman" w:cs="Times New Roman"/>
          <w:sz w:val="24"/>
          <w:szCs w:val="24"/>
          <w:lang w:val="en-US"/>
        </w:rPr>
      </w:pPr>
      <w:r w:rsidRPr="003A59C0">
        <w:rPr>
          <w:rFonts w:ascii="Times New Roman" w:hAnsi="Times New Roman" w:cs="Times New Roman"/>
          <w:sz w:val="24"/>
          <w:szCs w:val="24"/>
          <w:lang w:val="en-US"/>
        </w:rPr>
        <w:t>Slovenia (2011). Bold Slovenia. Slovenia: Knowledge-Based Society. National Higher Education Programme 2011-2020.  Ljubljana: 8 September 2010.</w:t>
      </w:r>
    </w:p>
    <w:p w:rsidR="00D05A4A" w:rsidRDefault="00D05A4A" w:rsidP="006E008A">
      <w:pPr>
        <w:jc w:val="both"/>
        <w:rPr>
          <w:rFonts w:ascii="Times New Roman" w:hAnsi="Times New Roman" w:cs="Times New Roman"/>
          <w:sz w:val="24"/>
          <w:szCs w:val="24"/>
          <w:lang w:val="en-US"/>
        </w:rPr>
      </w:pPr>
    </w:p>
    <w:p w:rsidR="009A0960" w:rsidRDefault="009A0960" w:rsidP="009A0960">
      <w:pPr>
        <w:pStyle w:val="Heading1"/>
        <w:rPr>
          <w:lang w:val="en-US"/>
        </w:rPr>
      </w:pPr>
      <w:r>
        <w:rPr>
          <w:lang w:val="en-US"/>
        </w:rPr>
        <w:t>Bio</w:t>
      </w:r>
    </w:p>
    <w:p w:rsidR="009A0960" w:rsidRPr="003A59C0" w:rsidRDefault="009A0960" w:rsidP="006E008A">
      <w:pPr>
        <w:jc w:val="both"/>
        <w:rPr>
          <w:rFonts w:ascii="Times New Roman" w:hAnsi="Times New Roman" w:cs="Times New Roman"/>
          <w:sz w:val="24"/>
          <w:szCs w:val="24"/>
          <w:lang w:val="en-US"/>
        </w:rPr>
      </w:pPr>
      <w:r w:rsidRPr="009A0960">
        <w:rPr>
          <w:rFonts w:ascii="Times New Roman" w:hAnsi="Times New Roman" w:cs="Times New Roman"/>
          <w:sz w:val="24"/>
          <w:szCs w:val="24"/>
          <w:lang w:val="en-US"/>
        </w:rPr>
        <w:t>Manja Klemenčič is</w:t>
      </w:r>
      <w:r w:rsidR="00404793">
        <w:rPr>
          <w:rFonts w:ascii="Times New Roman" w:hAnsi="Times New Roman" w:cs="Times New Roman"/>
          <w:sz w:val="24"/>
          <w:szCs w:val="24"/>
          <w:lang w:val="en-US"/>
        </w:rPr>
        <w:t xml:space="preserve"> postdoctoral researcher at </w:t>
      </w:r>
      <w:r w:rsidRPr="009A0960">
        <w:rPr>
          <w:rFonts w:ascii="Times New Roman" w:hAnsi="Times New Roman" w:cs="Times New Roman"/>
          <w:sz w:val="24"/>
          <w:szCs w:val="24"/>
          <w:lang w:val="en-US"/>
        </w:rPr>
        <w:t>Centre for Educational Policy Studies, Faculty of Education, University of Ljubljana</w:t>
      </w:r>
      <w:r>
        <w:rPr>
          <w:rFonts w:ascii="Times New Roman" w:hAnsi="Times New Roman" w:cs="Times New Roman"/>
          <w:sz w:val="24"/>
          <w:szCs w:val="24"/>
          <w:lang w:val="en-US"/>
        </w:rPr>
        <w:t xml:space="preserve"> </w:t>
      </w:r>
      <w:r w:rsidR="00404793">
        <w:rPr>
          <w:rFonts w:ascii="Times New Roman" w:hAnsi="Times New Roman" w:cs="Times New Roman"/>
          <w:sz w:val="24"/>
          <w:szCs w:val="24"/>
          <w:lang w:val="en-US"/>
        </w:rPr>
        <w:t xml:space="preserve">where she is </w:t>
      </w:r>
      <w:r>
        <w:rPr>
          <w:rFonts w:ascii="Times New Roman" w:hAnsi="Times New Roman" w:cs="Times New Roman"/>
          <w:sz w:val="24"/>
          <w:szCs w:val="24"/>
          <w:lang w:val="en-US"/>
        </w:rPr>
        <w:t xml:space="preserve">involved with the project </w:t>
      </w:r>
      <w:r w:rsidRPr="009A0960">
        <w:rPr>
          <w:rFonts w:ascii="Times New Roman" w:hAnsi="Times New Roman" w:cs="Times New Roman"/>
          <w:i/>
          <w:sz w:val="24"/>
          <w:szCs w:val="24"/>
          <w:lang w:val="en-US"/>
        </w:rPr>
        <w:t>Differentiation, Equity, Productivity: The Social and Economic Consequences of Expanded and Differentiated Higher Education Systems – Internationalisation Aspects</w:t>
      </w:r>
      <w:r w:rsidR="00404793">
        <w:rPr>
          <w:rFonts w:ascii="Times New Roman" w:hAnsi="Times New Roman" w:cs="Times New Roman"/>
          <w:sz w:val="24"/>
          <w:szCs w:val="24"/>
          <w:lang w:val="en-US"/>
        </w:rPr>
        <w:t xml:space="preserve"> (DEP-08-EuroHESC-OP-016</w:t>
      </w:r>
      <w:r w:rsidRPr="009A0960">
        <w:rPr>
          <w:rFonts w:ascii="Times New Roman" w:hAnsi="Times New Roman" w:cs="Times New Roman"/>
          <w:sz w:val="24"/>
          <w:szCs w:val="24"/>
          <w:lang w:val="en-US"/>
        </w:rPr>
        <w:t xml:space="preserve">). </w:t>
      </w:r>
      <w:r w:rsidR="008A0910">
        <w:rPr>
          <w:rFonts w:ascii="Times New Roman" w:hAnsi="Times New Roman" w:cs="Times New Roman"/>
          <w:sz w:val="24"/>
          <w:szCs w:val="24"/>
          <w:lang w:val="en-US"/>
        </w:rPr>
        <w:t xml:space="preserve">She is also </w:t>
      </w:r>
      <w:r w:rsidR="00404793">
        <w:rPr>
          <w:rFonts w:ascii="Times New Roman" w:hAnsi="Times New Roman" w:cs="Times New Roman"/>
          <w:sz w:val="24"/>
          <w:szCs w:val="24"/>
          <w:lang w:val="en-US"/>
        </w:rPr>
        <w:t xml:space="preserve">a </w:t>
      </w:r>
      <w:r w:rsidR="008A0910">
        <w:rPr>
          <w:rFonts w:ascii="Times New Roman" w:hAnsi="Times New Roman" w:cs="Times New Roman"/>
          <w:sz w:val="24"/>
          <w:szCs w:val="24"/>
          <w:lang w:val="en-US"/>
        </w:rPr>
        <w:t>Postdoctoral Fellow in Education at Harvard Graduate School of Education</w:t>
      </w:r>
      <w:r w:rsidR="00404793">
        <w:rPr>
          <w:rFonts w:ascii="Times New Roman" w:hAnsi="Times New Roman" w:cs="Times New Roman"/>
          <w:sz w:val="24"/>
          <w:szCs w:val="24"/>
          <w:lang w:val="en-US"/>
        </w:rPr>
        <w:t xml:space="preserve"> working on a monograph </w:t>
      </w:r>
      <w:r w:rsidR="00404793" w:rsidRPr="00404793">
        <w:rPr>
          <w:rFonts w:ascii="Times New Roman" w:hAnsi="Times New Roman" w:cs="Times New Roman"/>
          <w:i/>
          <w:sz w:val="24"/>
          <w:szCs w:val="24"/>
          <w:lang w:val="en-US"/>
        </w:rPr>
        <w:t>Student Power in Europe</w:t>
      </w:r>
      <w:r w:rsidR="00404793">
        <w:rPr>
          <w:rFonts w:ascii="Times New Roman" w:hAnsi="Times New Roman" w:cs="Times New Roman"/>
          <w:sz w:val="24"/>
          <w:szCs w:val="24"/>
          <w:lang w:val="en-US"/>
        </w:rPr>
        <w:t>.</w:t>
      </w:r>
      <w:r w:rsidRPr="009A0960">
        <w:rPr>
          <w:rFonts w:ascii="Times New Roman" w:hAnsi="Times New Roman" w:cs="Times New Roman"/>
          <w:sz w:val="24"/>
          <w:szCs w:val="24"/>
          <w:lang w:val="en-US"/>
        </w:rPr>
        <w:t xml:space="preserve"> Manja obtained PhD in International Studies and M.Phil in European Studies </w:t>
      </w:r>
      <w:r w:rsidR="00404793">
        <w:rPr>
          <w:rFonts w:ascii="Times New Roman" w:hAnsi="Times New Roman" w:cs="Times New Roman"/>
          <w:sz w:val="24"/>
          <w:szCs w:val="24"/>
          <w:lang w:val="en-US"/>
        </w:rPr>
        <w:t xml:space="preserve">from </w:t>
      </w:r>
      <w:r w:rsidRPr="009A0960">
        <w:rPr>
          <w:rFonts w:ascii="Times New Roman" w:hAnsi="Times New Roman" w:cs="Times New Roman"/>
          <w:sz w:val="24"/>
          <w:szCs w:val="24"/>
          <w:lang w:val="en-US"/>
        </w:rPr>
        <w:t>University of Cambridge. She held several research fellowships</w:t>
      </w:r>
      <w:r w:rsidR="00404793">
        <w:rPr>
          <w:rFonts w:ascii="Times New Roman" w:hAnsi="Times New Roman" w:cs="Times New Roman"/>
          <w:sz w:val="24"/>
          <w:szCs w:val="24"/>
          <w:lang w:val="en-US"/>
        </w:rPr>
        <w:t xml:space="preserve"> at:</w:t>
      </w:r>
      <w:r w:rsidRPr="009A0960">
        <w:rPr>
          <w:rFonts w:ascii="Times New Roman" w:hAnsi="Times New Roman" w:cs="Times New Roman"/>
          <w:sz w:val="24"/>
          <w:szCs w:val="24"/>
          <w:lang w:val="en-US"/>
        </w:rPr>
        <w:t xml:space="preserve"> </w:t>
      </w:r>
      <w:r w:rsidR="00404793">
        <w:rPr>
          <w:rFonts w:ascii="Times New Roman" w:hAnsi="Times New Roman" w:cs="Times New Roman"/>
          <w:sz w:val="24"/>
          <w:szCs w:val="24"/>
          <w:lang w:val="en-US"/>
        </w:rPr>
        <w:t xml:space="preserve">Centre for Social Science Research in Berlin (2011/12), </w:t>
      </w:r>
      <w:r w:rsidRPr="009A0960">
        <w:rPr>
          <w:rFonts w:ascii="Times New Roman" w:hAnsi="Times New Roman" w:cs="Times New Roman"/>
          <w:sz w:val="24"/>
          <w:szCs w:val="24"/>
          <w:lang w:val="en-US"/>
        </w:rPr>
        <w:t>Center for International Higher Education a</w:t>
      </w:r>
      <w:r w:rsidR="00404793">
        <w:rPr>
          <w:rFonts w:ascii="Times New Roman" w:hAnsi="Times New Roman" w:cs="Times New Roman"/>
          <w:sz w:val="24"/>
          <w:szCs w:val="24"/>
          <w:lang w:val="en-US"/>
        </w:rPr>
        <w:t xml:space="preserve">t Boston College (2010/2011); </w:t>
      </w:r>
      <w:r w:rsidRPr="009A0960">
        <w:rPr>
          <w:rFonts w:ascii="Times New Roman" w:hAnsi="Times New Roman" w:cs="Times New Roman"/>
          <w:sz w:val="24"/>
          <w:szCs w:val="24"/>
          <w:lang w:val="en-US"/>
        </w:rPr>
        <w:t>Minda de Gunzburg Center for European St</w:t>
      </w:r>
      <w:r w:rsidR="00404793">
        <w:rPr>
          <w:rFonts w:ascii="Times New Roman" w:hAnsi="Times New Roman" w:cs="Times New Roman"/>
          <w:sz w:val="24"/>
          <w:szCs w:val="24"/>
          <w:lang w:val="en-US"/>
        </w:rPr>
        <w:t xml:space="preserve">udies at Harvard (2007/2008), </w:t>
      </w:r>
      <w:r w:rsidRPr="009A0960">
        <w:rPr>
          <w:rFonts w:ascii="Times New Roman" w:hAnsi="Times New Roman" w:cs="Times New Roman"/>
          <w:sz w:val="24"/>
          <w:szCs w:val="24"/>
          <w:lang w:val="en-US"/>
        </w:rPr>
        <w:t>Center for Business and Government at Harvard K</w:t>
      </w:r>
      <w:r w:rsidR="00404793">
        <w:rPr>
          <w:rFonts w:ascii="Times New Roman" w:hAnsi="Times New Roman" w:cs="Times New Roman"/>
          <w:sz w:val="24"/>
          <w:szCs w:val="24"/>
          <w:lang w:val="en-US"/>
        </w:rPr>
        <w:t xml:space="preserve">ennedy School (2004/2005), and </w:t>
      </w:r>
      <w:r w:rsidRPr="009A0960">
        <w:rPr>
          <w:rFonts w:ascii="Times New Roman" w:hAnsi="Times New Roman" w:cs="Times New Roman"/>
          <w:sz w:val="24"/>
          <w:szCs w:val="24"/>
          <w:lang w:val="en-US"/>
        </w:rPr>
        <w:t>Centre for European Policy Studies in Brussels</w:t>
      </w:r>
      <w:r w:rsidR="00404793">
        <w:rPr>
          <w:rFonts w:ascii="Times New Roman" w:hAnsi="Times New Roman" w:cs="Times New Roman"/>
          <w:sz w:val="24"/>
          <w:szCs w:val="24"/>
          <w:lang w:val="en-US"/>
        </w:rPr>
        <w:t xml:space="preserve"> (2004)</w:t>
      </w:r>
      <w:r w:rsidRPr="009A0960">
        <w:rPr>
          <w:rFonts w:ascii="Times New Roman" w:hAnsi="Times New Roman" w:cs="Times New Roman"/>
          <w:sz w:val="24"/>
          <w:szCs w:val="24"/>
          <w:lang w:val="en-US"/>
        </w:rPr>
        <w:t>.</w:t>
      </w:r>
      <w:r w:rsidR="00404793">
        <w:rPr>
          <w:rFonts w:ascii="Times New Roman" w:hAnsi="Times New Roman" w:cs="Times New Roman"/>
          <w:sz w:val="24"/>
          <w:szCs w:val="24"/>
          <w:lang w:val="en-US"/>
        </w:rPr>
        <w:t xml:space="preserve"> From 2013, she will be a Managing Editor of </w:t>
      </w:r>
      <w:r w:rsidR="00404793" w:rsidRPr="00404793">
        <w:rPr>
          <w:rFonts w:ascii="Times New Roman" w:hAnsi="Times New Roman" w:cs="Times New Roman"/>
          <w:i/>
          <w:sz w:val="24"/>
          <w:szCs w:val="24"/>
          <w:lang w:val="en-US"/>
        </w:rPr>
        <w:t>European Journal of Higher Education</w:t>
      </w:r>
      <w:r w:rsidR="00404793">
        <w:rPr>
          <w:rFonts w:ascii="Times New Roman" w:hAnsi="Times New Roman" w:cs="Times New Roman"/>
          <w:sz w:val="24"/>
          <w:szCs w:val="24"/>
          <w:lang w:val="en-US"/>
        </w:rPr>
        <w:t xml:space="preserve">. </w:t>
      </w:r>
    </w:p>
    <w:sectPr w:rsidR="009A0960" w:rsidRPr="003A59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E3" w:rsidRDefault="00A653E3" w:rsidP="00C74645">
      <w:pPr>
        <w:spacing w:after="0" w:line="240" w:lineRule="auto"/>
      </w:pPr>
      <w:r>
        <w:separator/>
      </w:r>
    </w:p>
  </w:endnote>
  <w:endnote w:type="continuationSeparator" w:id="0">
    <w:p w:rsidR="00A653E3" w:rsidRDefault="00A653E3" w:rsidP="00C7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06793"/>
      <w:docPartObj>
        <w:docPartGallery w:val="Page Numbers (Bottom of Page)"/>
        <w:docPartUnique/>
      </w:docPartObj>
    </w:sdtPr>
    <w:sdtEndPr>
      <w:rPr>
        <w:noProof/>
      </w:rPr>
    </w:sdtEndPr>
    <w:sdtContent>
      <w:p w:rsidR="00016709" w:rsidRDefault="00016709">
        <w:pPr>
          <w:pStyle w:val="Footer"/>
          <w:jc w:val="center"/>
        </w:pPr>
        <w:r>
          <w:fldChar w:fldCharType="begin"/>
        </w:r>
        <w:r>
          <w:instrText xml:space="preserve"> PAGE   \* MERGEFORMAT </w:instrText>
        </w:r>
        <w:r>
          <w:fldChar w:fldCharType="separate"/>
        </w:r>
        <w:r w:rsidR="00A653E3">
          <w:rPr>
            <w:noProof/>
          </w:rPr>
          <w:t>1</w:t>
        </w:r>
        <w:r>
          <w:rPr>
            <w:noProof/>
          </w:rPr>
          <w:fldChar w:fldCharType="end"/>
        </w:r>
      </w:p>
    </w:sdtContent>
  </w:sdt>
  <w:p w:rsidR="00016709" w:rsidRDefault="00016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E3" w:rsidRDefault="00A653E3" w:rsidP="00C74645">
      <w:pPr>
        <w:spacing w:after="0" w:line="240" w:lineRule="auto"/>
      </w:pPr>
      <w:r>
        <w:separator/>
      </w:r>
    </w:p>
  </w:footnote>
  <w:footnote w:type="continuationSeparator" w:id="0">
    <w:p w:rsidR="00A653E3" w:rsidRDefault="00A653E3" w:rsidP="00C74645">
      <w:pPr>
        <w:spacing w:after="0" w:line="240" w:lineRule="auto"/>
      </w:pPr>
      <w:r>
        <w:continuationSeparator/>
      </w:r>
    </w:p>
  </w:footnote>
  <w:footnote w:id="1">
    <w:p w:rsidR="00016709" w:rsidRPr="00B864FD" w:rsidRDefault="00016709">
      <w:pPr>
        <w:pStyle w:val="FootnoteText"/>
        <w:rPr>
          <w:lang w:val="en-US"/>
        </w:rPr>
      </w:pPr>
      <w:r>
        <w:rPr>
          <w:rStyle w:val="FootnoteReference"/>
        </w:rPr>
        <w:footnoteRef/>
      </w:r>
      <w:r>
        <w:t xml:space="preserve"> </w:t>
      </w:r>
      <w:hyperlink r:id="rId1" w:history="1">
        <w:r w:rsidRPr="00B864FD">
          <w:rPr>
            <w:color w:val="0000FF"/>
            <w:sz w:val="22"/>
            <w:szCs w:val="22"/>
            <w:u w:val="single"/>
          </w:rPr>
          <w:t>http://www.bolognaexperts.net</w:t>
        </w:r>
      </w:hyperlink>
      <w:r>
        <w:rPr>
          <w:sz w:val="22"/>
          <w:szCs w:val="22"/>
        </w:rPr>
        <w:t xml:space="preserve"> [Last visited 25.10.2012].</w:t>
      </w:r>
    </w:p>
  </w:footnote>
  <w:footnote w:id="2">
    <w:p w:rsidR="00016709" w:rsidRPr="00B84DCC" w:rsidRDefault="00016709">
      <w:pPr>
        <w:pStyle w:val="FootnoteText"/>
        <w:rPr>
          <w:lang w:val="en-US"/>
        </w:rPr>
      </w:pPr>
      <w:r>
        <w:rPr>
          <w:rStyle w:val="FootnoteReference"/>
        </w:rPr>
        <w:footnoteRef/>
      </w:r>
      <w:r>
        <w:t xml:space="preserve"> </w:t>
      </w:r>
      <w:hyperlink r:id="rId2" w:history="1">
        <w:r w:rsidRPr="00DA5448">
          <w:rPr>
            <w:rStyle w:val="Hyperlink"/>
          </w:rPr>
          <w:t>http://ec.europa.eu/research/iscp/index.cfm?lg=en&amp;pg=west_balk</w:t>
        </w:r>
      </w:hyperlink>
      <w:r>
        <w:t xml:space="preserve"> [Last visited 25.10.2012]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5F"/>
    <w:rsid w:val="00016709"/>
    <w:rsid w:val="000327F5"/>
    <w:rsid w:val="00047DE8"/>
    <w:rsid w:val="00057236"/>
    <w:rsid w:val="000623C0"/>
    <w:rsid w:val="000818C5"/>
    <w:rsid w:val="00085C67"/>
    <w:rsid w:val="00090E53"/>
    <w:rsid w:val="000B283A"/>
    <w:rsid w:val="000B2F22"/>
    <w:rsid w:val="000B779A"/>
    <w:rsid w:val="000C3F1A"/>
    <w:rsid w:val="000C762A"/>
    <w:rsid w:val="000D10F4"/>
    <w:rsid w:val="000F4268"/>
    <w:rsid w:val="001049DA"/>
    <w:rsid w:val="00113118"/>
    <w:rsid w:val="00122A5D"/>
    <w:rsid w:val="001650B4"/>
    <w:rsid w:val="00174A26"/>
    <w:rsid w:val="001763F3"/>
    <w:rsid w:val="0019572A"/>
    <w:rsid w:val="001A0EA3"/>
    <w:rsid w:val="001A2791"/>
    <w:rsid w:val="001B247E"/>
    <w:rsid w:val="001B79EC"/>
    <w:rsid w:val="001D44C3"/>
    <w:rsid w:val="001E6347"/>
    <w:rsid w:val="00204650"/>
    <w:rsid w:val="002152AC"/>
    <w:rsid w:val="002164DD"/>
    <w:rsid w:val="002246BC"/>
    <w:rsid w:val="002252C3"/>
    <w:rsid w:val="00241CF0"/>
    <w:rsid w:val="00245ADB"/>
    <w:rsid w:val="00257C63"/>
    <w:rsid w:val="00264367"/>
    <w:rsid w:val="00266156"/>
    <w:rsid w:val="00285AA5"/>
    <w:rsid w:val="00297C84"/>
    <w:rsid w:val="002A494F"/>
    <w:rsid w:val="002C3132"/>
    <w:rsid w:val="002D0D92"/>
    <w:rsid w:val="002D15B0"/>
    <w:rsid w:val="002D2C4F"/>
    <w:rsid w:val="002D3735"/>
    <w:rsid w:val="002F1D7D"/>
    <w:rsid w:val="002F62F5"/>
    <w:rsid w:val="002F7A90"/>
    <w:rsid w:val="00313E47"/>
    <w:rsid w:val="00337D4D"/>
    <w:rsid w:val="00342888"/>
    <w:rsid w:val="003674AE"/>
    <w:rsid w:val="00397CDF"/>
    <w:rsid w:val="003A59C0"/>
    <w:rsid w:val="003B4999"/>
    <w:rsid w:val="003D087D"/>
    <w:rsid w:val="003D59CC"/>
    <w:rsid w:val="003D5F56"/>
    <w:rsid w:val="003E17FF"/>
    <w:rsid w:val="003E43B6"/>
    <w:rsid w:val="00404793"/>
    <w:rsid w:val="004222F9"/>
    <w:rsid w:val="0042488F"/>
    <w:rsid w:val="00425301"/>
    <w:rsid w:val="00452CAC"/>
    <w:rsid w:val="00477D89"/>
    <w:rsid w:val="004867B4"/>
    <w:rsid w:val="00497F81"/>
    <w:rsid w:val="004A2E58"/>
    <w:rsid w:val="004C26B7"/>
    <w:rsid w:val="004C6B2F"/>
    <w:rsid w:val="004D1FB8"/>
    <w:rsid w:val="004E0741"/>
    <w:rsid w:val="004E0D0B"/>
    <w:rsid w:val="004F106D"/>
    <w:rsid w:val="00504FD4"/>
    <w:rsid w:val="005111BB"/>
    <w:rsid w:val="005161C5"/>
    <w:rsid w:val="00541F03"/>
    <w:rsid w:val="005503CC"/>
    <w:rsid w:val="00577D92"/>
    <w:rsid w:val="00581533"/>
    <w:rsid w:val="00583B43"/>
    <w:rsid w:val="00591443"/>
    <w:rsid w:val="0059658F"/>
    <w:rsid w:val="005B1F85"/>
    <w:rsid w:val="005C5B5A"/>
    <w:rsid w:val="005C6050"/>
    <w:rsid w:val="005E222F"/>
    <w:rsid w:val="005E3CB2"/>
    <w:rsid w:val="005F6E00"/>
    <w:rsid w:val="00610F84"/>
    <w:rsid w:val="00616CDF"/>
    <w:rsid w:val="00647C52"/>
    <w:rsid w:val="006523B1"/>
    <w:rsid w:val="00661770"/>
    <w:rsid w:val="0066400F"/>
    <w:rsid w:val="006927BB"/>
    <w:rsid w:val="00694B33"/>
    <w:rsid w:val="006A1B9F"/>
    <w:rsid w:val="006A6594"/>
    <w:rsid w:val="006A7888"/>
    <w:rsid w:val="006C7A4F"/>
    <w:rsid w:val="006E008A"/>
    <w:rsid w:val="006F5EA0"/>
    <w:rsid w:val="006F6105"/>
    <w:rsid w:val="007165BF"/>
    <w:rsid w:val="00717B31"/>
    <w:rsid w:val="0072247C"/>
    <w:rsid w:val="007246F2"/>
    <w:rsid w:val="00727838"/>
    <w:rsid w:val="00750FE0"/>
    <w:rsid w:val="00751B42"/>
    <w:rsid w:val="00752856"/>
    <w:rsid w:val="00765FE0"/>
    <w:rsid w:val="0078518D"/>
    <w:rsid w:val="00785716"/>
    <w:rsid w:val="00785BC8"/>
    <w:rsid w:val="007904B1"/>
    <w:rsid w:val="007A1A7B"/>
    <w:rsid w:val="007A1B81"/>
    <w:rsid w:val="007D74CD"/>
    <w:rsid w:val="008027E3"/>
    <w:rsid w:val="00804015"/>
    <w:rsid w:val="00807B7D"/>
    <w:rsid w:val="00811373"/>
    <w:rsid w:val="00820463"/>
    <w:rsid w:val="008364AE"/>
    <w:rsid w:val="008461F4"/>
    <w:rsid w:val="00852504"/>
    <w:rsid w:val="0085297B"/>
    <w:rsid w:val="0087047C"/>
    <w:rsid w:val="0088437A"/>
    <w:rsid w:val="00887EBF"/>
    <w:rsid w:val="008A0910"/>
    <w:rsid w:val="008A4E3C"/>
    <w:rsid w:val="008C134E"/>
    <w:rsid w:val="008C4678"/>
    <w:rsid w:val="008C7D37"/>
    <w:rsid w:val="008D0B78"/>
    <w:rsid w:val="008F6546"/>
    <w:rsid w:val="009013F2"/>
    <w:rsid w:val="00906BF5"/>
    <w:rsid w:val="009170CA"/>
    <w:rsid w:val="00944772"/>
    <w:rsid w:val="0094566D"/>
    <w:rsid w:val="00962768"/>
    <w:rsid w:val="0098417D"/>
    <w:rsid w:val="0098665E"/>
    <w:rsid w:val="00990181"/>
    <w:rsid w:val="00990B7A"/>
    <w:rsid w:val="00997B7A"/>
    <w:rsid w:val="009A0960"/>
    <w:rsid w:val="009B4EE7"/>
    <w:rsid w:val="009D4CE8"/>
    <w:rsid w:val="009E17ED"/>
    <w:rsid w:val="009F2A9A"/>
    <w:rsid w:val="009F7515"/>
    <w:rsid w:val="00A13E0B"/>
    <w:rsid w:val="00A14479"/>
    <w:rsid w:val="00A251D7"/>
    <w:rsid w:val="00A32A21"/>
    <w:rsid w:val="00A442A4"/>
    <w:rsid w:val="00A4667B"/>
    <w:rsid w:val="00A51477"/>
    <w:rsid w:val="00A55B73"/>
    <w:rsid w:val="00A64522"/>
    <w:rsid w:val="00A653E3"/>
    <w:rsid w:val="00A6723C"/>
    <w:rsid w:val="00AA7E40"/>
    <w:rsid w:val="00AC1913"/>
    <w:rsid w:val="00AC4874"/>
    <w:rsid w:val="00AD1BEE"/>
    <w:rsid w:val="00AE4145"/>
    <w:rsid w:val="00B12384"/>
    <w:rsid w:val="00B128A2"/>
    <w:rsid w:val="00B17316"/>
    <w:rsid w:val="00B25041"/>
    <w:rsid w:val="00B333B3"/>
    <w:rsid w:val="00B41A37"/>
    <w:rsid w:val="00B460CF"/>
    <w:rsid w:val="00B518E8"/>
    <w:rsid w:val="00B52355"/>
    <w:rsid w:val="00B82345"/>
    <w:rsid w:val="00B84DCC"/>
    <w:rsid w:val="00B85AD1"/>
    <w:rsid w:val="00B864FD"/>
    <w:rsid w:val="00BA6E64"/>
    <w:rsid w:val="00BA7737"/>
    <w:rsid w:val="00BB1D8C"/>
    <w:rsid w:val="00BB4F40"/>
    <w:rsid w:val="00BD512E"/>
    <w:rsid w:val="00BF442A"/>
    <w:rsid w:val="00C0107A"/>
    <w:rsid w:val="00C11C6E"/>
    <w:rsid w:val="00C11FB4"/>
    <w:rsid w:val="00C161E9"/>
    <w:rsid w:val="00C31800"/>
    <w:rsid w:val="00C51CD7"/>
    <w:rsid w:val="00C64272"/>
    <w:rsid w:val="00C716AE"/>
    <w:rsid w:val="00C73F34"/>
    <w:rsid w:val="00C74645"/>
    <w:rsid w:val="00C75576"/>
    <w:rsid w:val="00C77AD3"/>
    <w:rsid w:val="00CA21F5"/>
    <w:rsid w:val="00CA3F80"/>
    <w:rsid w:val="00CB1D23"/>
    <w:rsid w:val="00CB51D0"/>
    <w:rsid w:val="00CC2CA1"/>
    <w:rsid w:val="00CE0E21"/>
    <w:rsid w:val="00CE50E9"/>
    <w:rsid w:val="00CF5FA0"/>
    <w:rsid w:val="00D05A4A"/>
    <w:rsid w:val="00D32D4E"/>
    <w:rsid w:val="00D400CB"/>
    <w:rsid w:val="00D43C6F"/>
    <w:rsid w:val="00D5415F"/>
    <w:rsid w:val="00D87ED9"/>
    <w:rsid w:val="00D97461"/>
    <w:rsid w:val="00DC1706"/>
    <w:rsid w:val="00DD1935"/>
    <w:rsid w:val="00DD2B46"/>
    <w:rsid w:val="00DD57C5"/>
    <w:rsid w:val="00DE5CDE"/>
    <w:rsid w:val="00DF3B03"/>
    <w:rsid w:val="00E06BA1"/>
    <w:rsid w:val="00E13C04"/>
    <w:rsid w:val="00E53AF4"/>
    <w:rsid w:val="00E63A19"/>
    <w:rsid w:val="00E652E3"/>
    <w:rsid w:val="00E95E52"/>
    <w:rsid w:val="00EA6EA3"/>
    <w:rsid w:val="00EA7A82"/>
    <w:rsid w:val="00EB1A38"/>
    <w:rsid w:val="00ED0607"/>
    <w:rsid w:val="00EF28BB"/>
    <w:rsid w:val="00F05F58"/>
    <w:rsid w:val="00F3168E"/>
    <w:rsid w:val="00F632D1"/>
    <w:rsid w:val="00F663F6"/>
    <w:rsid w:val="00F82A4A"/>
    <w:rsid w:val="00F92032"/>
    <w:rsid w:val="00FE0F89"/>
    <w:rsid w:val="00FE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6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6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1F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64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45"/>
  </w:style>
  <w:style w:type="paragraph" w:styleId="Footer">
    <w:name w:val="footer"/>
    <w:basedOn w:val="Normal"/>
    <w:link w:val="FooterChar"/>
    <w:uiPriority w:val="99"/>
    <w:unhideWhenUsed/>
    <w:rsid w:val="00C7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45"/>
  </w:style>
  <w:style w:type="paragraph" w:styleId="FootnoteText">
    <w:name w:val="footnote text"/>
    <w:basedOn w:val="Normal"/>
    <w:link w:val="FootnoteTextChar"/>
    <w:uiPriority w:val="99"/>
    <w:semiHidden/>
    <w:unhideWhenUsed/>
    <w:rsid w:val="00C74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645"/>
    <w:rPr>
      <w:sz w:val="20"/>
      <w:szCs w:val="20"/>
    </w:rPr>
  </w:style>
  <w:style w:type="character" w:styleId="FootnoteReference">
    <w:name w:val="footnote reference"/>
    <w:uiPriority w:val="99"/>
    <w:semiHidden/>
    <w:unhideWhenUsed/>
    <w:rsid w:val="00C74645"/>
    <w:rPr>
      <w:vertAlign w:val="superscript"/>
    </w:rPr>
  </w:style>
  <w:style w:type="character" w:customStyle="1" w:styleId="apple-style-span">
    <w:name w:val="apple-style-span"/>
    <w:basedOn w:val="DefaultParagraphFont"/>
    <w:rsid w:val="00C74645"/>
  </w:style>
  <w:style w:type="paragraph" w:styleId="BalloonText">
    <w:name w:val="Balloon Text"/>
    <w:basedOn w:val="Normal"/>
    <w:link w:val="BalloonTextChar"/>
    <w:uiPriority w:val="99"/>
    <w:semiHidden/>
    <w:unhideWhenUsed/>
    <w:rsid w:val="00A64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522"/>
    <w:rPr>
      <w:rFonts w:ascii="Tahoma" w:hAnsi="Tahoma" w:cs="Tahoma"/>
      <w:sz w:val="16"/>
      <w:szCs w:val="16"/>
    </w:rPr>
  </w:style>
  <w:style w:type="table" w:styleId="TableGrid">
    <w:name w:val="Table Grid"/>
    <w:basedOn w:val="TableNormal"/>
    <w:uiPriority w:val="59"/>
    <w:rsid w:val="00583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E00"/>
    <w:rPr>
      <w:color w:val="0000FF" w:themeColor="hyperlink"/>
      <w:u w:val="single"/>
    </w:rPr>
  </w:style>
  <w:style w:type="character" w:customStyle="1" w:styleId="Heading2Char">
    <w:name w:val="Heading 2 Char"/>
    <w:basedOn w:val="DefaultParagraphFont"/>
    <w:link w:val="Heading2"/>
    <w:uiPriority w:val="9"/>
    <w:rsid w:val="002046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6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1FB4"/>
    <w:rPr>
      <w:rFonts w:asciiTheme="majorHAnsi" w:eastAsiaTheme="majorEastAsia" w:hAnsiTheme="majorHAnsi" w:cstheme="majorBidi"/>
      <w:b/>
      <w:bCs/>
      <w:i/>
      <w:iCs/>
      <w:color w:val="4F81BD" w:themeColor="accent1"/>
    </w:rPr>
  </w:style>
  <w:style w:type="character" w:customStyle="1" w:styleId="tw4winMark">
    <w:name w:val="tw4winMark"/>
    <w:rsid w:val="00FE0F89"/>
    <w:rPr>
      <w:rFonts w:ascii="Courier New" w:hAnsi="Courier New" w:cs="Courier New"/>
      <w:vanish/>
      <w:color w:val="800080"/>
      <w:sz w:val="24"/>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6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6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1F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64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45"/>
  </w:style>
  <w:style w:type="paragraph" w:styleId="Footer">
    <w:name w:val="footer"/>
    <w:basedOn w:val="Normal"/>
    <w:link w:val="FooterChar"/>
    <w:uiPriority w:val="99"/>
    <w:unhideWhenUsed/>
    <w:rsid w:val="00C7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45"/>
  </w:style>
  <w:style w:type="paragraph" w:styleId="FootnoteText">
    <w:name w:val="footnote text"/>
    <w:basedOn w:val="Normal"/>
    <w:link w:val="FootnoteTextChar"/>
    <w:uiPriority w:val="99"/>
    <w:semiHidden/>
    <w:unhideWhenUsed/>
    <w:rsid w:val="00C74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645"/>
    <w:rPr>
      <w:sz w:val="20"/>
      <w:szCs w:val="20"/>
    </w:rPr>
  </w:style>
  <w:style w:type="character" w:styleId="FootnoteReference">
    <w:name w:val="footnote reference"/>
    <w:uiPriority w:val="99"/>
    <w:semiHidden/>
    <w:unhideWhenUsed/>
    <w:rsid w:val="00C74645"/>
    <w:rPr>
      <w:vertAlign w:val="superscript"/>
    </w:rPr>
  </w:style>
  <w:style w:type="character" w:customStyle="1" w:styleId="apple-style-span">
    <w:name w:val="apple-style-span"/>
    <w:basedOn w:val="DefaultParagraphFont"/>
    <w:rsid w:val="00C74645"/>
  </w:style>
  <w:style w:type="paragraph" w:styleId="BalloonText">
    <w:name w:val="Balloon Text"/>
    <w:basedOn w:val="Normal"/>
    <w:link w:val="BalloonTextChar"/>
    <w:uiPriority w:val="99"/>
    <w:semiHidden/>
    <w:unhideWhenUsed/>
    <w:rsid w:val="00A64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522"/>
    <w:rPr>
      <w:rFonts w:ascii="Tahoma" w:hAnsi="Tahoma" w:cs="Tahoma"/>
      <w:sz w:val="16"/>
      <w:szCs w:val="16"/>
    </w:rPr>
  </w:style>
  <w:style w:type="table" w:styleId="TableGrid">
    <w:name w:val="Table Grid"/>
    <w:basedOn w:val="TableNormal"/>
    <w:uiPriority w:val="59"/>
    <w:rsid w:val="00583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E00"/>
    <w:rPr>
      <w:color w:val="0000FF" w:themeColor="hyperlink"/>
      <w:u w:val="single"/>
    </w:rPr>
  </w:style>
  <w:style w:type="character" w:customStyle="1" w:styleId="Heading2Char">
    <w:name w:val="Heading 2 Char"/>
    <w:basedOn w:val="DefaultParagraphFont"/>
    <w:link w:val="Heading2"/>
    <w:uiPriority w:val="9"/>
    <w:rsid w:val="002046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6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1FB4"/>
    <w:rPr>
      <w:rFonts w:asciiTheme="majorHAnsi" w:eastAsiaTheme="majorEastAsia" w:hAnsiTheme="majorHAnsi" w:cstheme="majorBidi"/>
      <w:b/>
      <w:bCs/>
      <w:i/>
      <w:iCs/>
      <w:color w:val="4F81BD" w:themeColor="accent1"/>
    </w:rPr>
  </w:style>
  <w:style w:type="character" w:customStyle="1" w:styleId="tw4winMark">
    <w:name w:val="tw4winMark"/>
    <w:rsid w:val="00FE0F89"/>
    <w:rPr>
      <w:rFonts w:ascii="Courier New" w:hAnsi="Courier New" w:cs="Courier New"/>
      <w:vanish/>
      <w:color w:val="800080"/>
      <w:sz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56154">
      <w:bodyDiv w:val="1"/>
      <w:marLeft w:val="0"/>
      <w:marRight w:val="0"/>
      <w:marTop w:val="0"/>
      <w:marBottom w:val="0"/>
      <w:divBdr>
        <w:top w:val="none" w:sz="0" w:space="0" w:color="auto"/>
        <w:left w:val="none" w:sz="0" w:space="0" w:color="auto"/>
        <w:bottom w:val="none" w:sz="0" w:space="0" w:color="auto"/>
        <w:right w:val="none" w:sz="0" w:space="0" w:color="auto"/>
      </w:divBdr>
      <w:divsChild>
        <w:div w:id="99499288">
          <w:marLeft w:val="418"/>
          <w:marRight w:val="0"/>
          <w:marTop w:val="176"/>
          <w:marBottom w:val="0"/>
          <w:divBdr>
            <w:top w:val="none" w:sz="0" w:space="0" w:color="auto"/>
            <w:left w:val="none" w:sz="0" w:space="0" w:color="auto"/>
            <w:bottom w:val="none" w:sz="0" w:space="0" w:color="auto"/>
            <w:right w:val="none" w:sz="0" w:space="0" w:color="auto"/>
          </w:divBdr>
        </w:div>
        <w:div w:id="804540786">
          <w:marLeft w:val="418"/>
          <w:marRight w:val="0"/>
          <w:marTop w:val="176"/>
          <w:marBottom w:val="0"/>
          <w:divBdr>
            <w:top w:val="none" w:sz="0" w:space="0" w:color="auto"/>
            <w:left w:val="none" w:sz="0" w:space="0" w:color="auto"/>
            <w:bottom w:val="none" w:sz="0" w:space="0" w:color="auto"/>
            <w:right w:val="none" w:sz="0" w:space="0" w:color="auto"/>
          </w:divBdr>
        </w:div>
        <w:div w:id="534002960">
          <w:marLeft w:val="418"/>
          <w:marRight w:val="0"/>
          <w:marTop w:val="176"/>
          <w:marBottom w:val="0"/>
          <w:divBdr>
            <w:top w:val="none" w:sz="0" w:space="0" w:color="auto"/>
            <w:left w:val="none" w:sz="0" w:space="0" w:color="auto"/>
            <w:bottom w:val="none" w:sz="0" w:space="0" w:color="auto"/>
            <w:right w:val="none" w:sz="0" w:space="0" w:color="auto"/>
          </w:divBdr>
        </w:div>
        <w:div w:id="1649169350">
          <w:marLeft w:val="418"/>
          <w:marRight w:val="0"/>
          <w:marTop w:val="176"/>
          <w:marBottom w:val="0"/>
          <w:divBdr>
            <w:top w:val="none" w:sz="0" w:space="0" w:color="auto"/>
            <w:left w:val="none" w:sz="0" w:space="0" w:color="auto"/>
            <w:bottom w:val="none" w:sz="0" w:space="0" w:color="auto"/>
            <w:right w:val="none" w:sz="0" w:space="0" w:color="auto"/>
          </w:divBdr>
        </w:div>
        <w:div w:id="1262955821">
          <w:marLeft w:val="418"/>
          <w:marRight w:val="0"/>
          <w:marTop w:val="17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t.ly/rf4Mp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iscp/index.cfm?lg=en&amp;pg=west_balk" TargetMode="External"/><Relationship Id="rId1" Type="http://schemas.openxmlformats.org/officeDocument/2006/relationships/hyperlink" Target="http://www.bolognaexper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8152</Words>
  <Characters>46473</Characters>
  <Application>Microsoft Office Word</Application>
  <DocSecurity>0</DocSecurity>
  <Lines>387</Lines>
  <Paragraphs>109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Abstract</vt:lpstr>
      <vt:lpstr>Introduction</vt:lpstr>
      <vt:lpstr>Conceptualising Europeanisation</vt:lpstr>
      <vt:lpstr>European policy recommendations on institutional diversification</vt:lpstr>
      <vt:lpstr>Review of current national policy initiatives on institutional diversification </vt:lpstr>
      <vt:lpstr>Conclusion </vt:lpstr>
      <vt:lpstr>Bibliography</vt:lpstr>
      <vt:lpstr>Bio</vt:lpstr>
    </vt:vector>
  </TitlesOfParts>
  <Company/>
  <LinksUpToDate>false</LinksUpToDate>
  <CharactersWithSpaces>54516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 Klemencic</dc:creator>
  <cp:lastModifiedBy>Manja Klemencic</cp:lastModifiedBy>
  <cp:revision>3</cp:revision>
  <cp:lastPrinted>2012-10-27T01:20:00Z</cp:lastPrinted>
  <dcterms:created xsi:type="dcterms:W3CDTF">2013-08-26T17:00:00Z</dcterms:created>
  <dcterms:modified xsi:type="dcterms:W3CDTF">2013-11-20T16:20:00Z</dcterms:modified>
</cp:coreProperties>
</file>