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15C4E" w14:textId="5F6A5043"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b/>
          <w:bCs/>
          <w:color w:val="2A4B7E"/>
        </w:rPr>
      </w:pPr>
      <w:bookmarkStart w:id="0" w:name="_GoBack"/>
      <w:r w:rsidRPr="00D71EC8">
        <w:rPr>
          <w:b/>
          <w:bCs/>
          <w:color w:val="2A4B7E"/>
        </w:rPr>
        <w:t>From student</w:t>
      </w:r>
      <w:r w:rsidR="006A7C96">
        <w:rPr>
          <w:b/>
          <w:bCs/>
          <w:color w:val="2A4B7E"/>
        </w:rPr>
        <w:t xml:space="preserve"> engagement to student agency: c</w:t>
      </w:r>
      <w:r w:rsidRPr="00D71EC8">
        <w:rPr>
          <w:b/>
          <w:bCs/>
          <w:color w:val="2A4B7E"/>
        </w:rPr>
        <w:t xml:space="preserve">onceptual considerations of European </w:t>
      </w:r>
      <w:bookmarkEnd w:id="0"/>
      <w:r w:rsidRPr="00D71EC8">
        <w:rPr>
          <w:b/>
          <w:bCs/>
          <w:color w:val="2A4B7E"/>
        </w:rPr>
        <w:t>policies on student-centered learning in higher education</w:t>
      </w:r>
    </w:p>
    <w:p w14:paraId="541ED881" w14:textId="77777777"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color w:val="000000"/>
        </w:rPr>
      </w:pPr>
      <w:r w:rsidRPr="00D71EC8">
        <w:rPr>
          <w:color w:val="000000"/>
        </w:rPr>
        <w:t xml:space="preserve">Manja Klemenčič, Harvard University, USA </w:t>
      </w:r>
    </w:p>
    <w:p w14:paraId="3E64A13C" w14:textId="77777777"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color w:val="000000"/>
        </w:rPr>
      </w:pPr>
    </w:p>
    <w:p w14:paraId="358A4281" w14:textId="7B2114F5"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color w:val="000000"/>
        </w:rPr>
      </w:pPr>
      <w:r w:rsidRPr="00D71EC8">
        <w:rPr>
          <w:color w:val="000000"/>
        </w:rPr>
        <w:t>Keywords: student-</w:t>
      </w:r>
      <w:r w:rsidR="006600E7" w:rsidRPr="00D71EC8">
        <w:rPr>
          <w:color w:val="000000"/>
        </w:rPr>
        <w:t>centered</w:t>
      </w:r>
      <w:r w:rsidRPr="00D71EC8">
        <w:rPr>
          <w:color w:val="000000"/>
        </w:rPr>
        <w:t xml:space="preserve"> learning</w:t>
      </w:r>
      <w:r w:rsidR="006600E7" w:rsidRPr="00D71EC8">
        <w:rPr>
          <w:color w:val="000000"/>
        </w:rPr>
        <w:t xml:space="preserve"> (SCL)</w:t>
      </w:r>
      <w:r w:rsidRPr="00D71EC8">
        <w:rPr>
          <w:color w:val="000000"/>
        </w:rPr>
        <w:t xml:space="preserve">; </w:t>
      </w:r>
      <w:r w:rsidR="006A7C96">
        <w:rPr>
          <w:color w:val="000000"/>
        </w:rPr>
        <w:t xml:space="preserve">student-centered learning environments (SCLEs); </w:t>
      </w:r>
      <w:r w:rsidRPr="00D71EC8">
        <w:rPr>
          <w:color w:val="000000"/>
        </w:rPr>
        <w:t>student engagement; student agency; European Higher Education Area; quality assurance; higher education policy</w:t>
      </w:r>
    </w:p>
    <w:p w14:paraId="14262230" w14:textId="77777777"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88" w:lineRule="auto"/>
        <w:rPr>
          <w:color w:val="000000"/>
        </w:rPr>
      </w:pPr>
    </w:p>
    <w:p w14:paraId="15FA3E51" w14:textId="77777777" w:rsidR="007E4A42" w:rsidRPr="00D71EC8" w:rsidRDefault="007E4A42" w:rsidP="00AB66F3">
      <w:pPr>
        <w:pStyle w:val="Heading1"/>
      </w:pPr>
      <w:r w:rsidRPr="00D71EC8">
        <w:t>Abstract</w:t>
      </w:r>
    </w:p>
    <w:p w14:paraId="3C3569B7" w14:textId="117C7273"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D71EC8">
        <w:rPr>
          <w:rFonts w:ascii="Trebuchet MS" w:hAnsi="Trebuchet MS" w:cs="Trebuchet MS"/>
          <w:color w:val="000000"/>
        </w:rPr>
        <w:t>S</w:t>
      </w:r>
      <w:r w:rsidRPr="00D71EC8">
        <w:rPr>
          <w:color w:val="000000"/>
        </w:rPr>
        <w:t xml:space="preserve">tudent-centered learning (SCL) has entered </w:t>
      </w:r>
      <w:r w:rsidR="006600E7" w:rsidRPr="00D71EC8">
        <w:rPr>
          <w:color w:val="000000"/>
        </w:rPr>
        <w:t>center</w:t>
      </w:r>
      <w:r w:rsidRPr="00D71EC8">
        <w:rPr>
          <w:color w:val="000000"/>
        </w:rPr>
        <w:t xml:space="preserve"> stage </w:t>
      </w:r>
      <w:r w:rsidR="008A12EE">
        <w:rPr>
          <w:color w:val="000000"/>
        </w:rPr>
        <w:t>on</w:t>
      </w:r>
      <w:r w:rsidRPr="00D71EC8">
        <w:rPr>
          <w:color w:val="000000"/>
        </w:rPr>
        <w:t xml:space="preserve"> higher education policy </w:t>
      </w:r>
      <w:r w:rsidR="008A12EE">
        <w:rPr>
          <w:color w:val="000000"/>
        </w:rPr>
        <w:t xml:space="preserve">agenda </w:t>
      </w:r>
      <w:r w:rsidRPr="00D71EC8">
        <w:rPr>
          <w:color w:val="000000"/>
        </w:rPr>
        <w:t xml:space="preserve">after the Yerevan Ministerial Summit of the European Higher Education Area </w:t>
      </w:r>
      <w:r w:rsidR="008A12EE">
        <w:rPr>
          <w:color w:val="000000"/>
        </w:rPr>
        <w:t xml:space="preserve">(EHEA) </w:t>
      </w:r>
      <w:r w:rsidRPr="00D71EC8">
        <w:rPr>
          <w:color w:val="000000"/>
        </w:rPr>
        <w:t>in May 2015.</w:t>
      </w:r>
      <w:r w:rsidR="00F15808">
        <w:rPr>
          <w:color w:val="000000"/>
        </w:rPr>
        <w:t xml:space="preserve"> It has become the key principle underlying the intended reforms towards </w:t>
      </w:r>
      <w:r w:rsidR="00B97538">
        <w:rPr>
          <w:color w:val="000000"/>
        </w:rPr>
        <w:t>more</w:t>
      </w:r>
      <w:r w:rsidR="00F15808">
        <w:rPr>
          <w:color w:val="000000"/>
        </w:rPr>
        <w:t xml:space="preserve"> quality of teaching and learning in European higher education. Despite the universal appeal, SCL remains poorly defined in policy documents</w:t>
      </w:r>
      <w:r w:rsidR="00D875E0">
        <w:rPr>
          <w:color w:val="000000"/>
        </w:rPr>
        <w:t xml:space="preserve"> and this</w:t>
      </w:r>
      <w:r w:rsidR="00F15808">
        <w:rPr>
          <w:color w:val="000000"/>
        </w:rPr>
        <w:t xml:space="preserve"> ambiguity </w:t>
      </w:r>
      <w:r w:rsidR="00F15808" w:rsidRPr="00D71EC8">
        <w:rPr>
          <w:color w:val="000000"/>
        </w:rPr>
        <w:t>potentially jeopardizes its implemen</w:t>
      </w:r>
      <w:r w:rsidR="00F15808">
        <w:rPr>
          <w:color w:val="000000"/>
        </w:rPr>
        <w:t xml:space="preserve">tation. </w:t>
      </w:r>
      <w:r w:rsidRPr="00D71EC8">
        <w:rPr>
          <w:color w:val="000000"/>
        </w:rPr>
        <w:t xml:space="preserve">The article </w:t>
      </w:r>
      <w:r w:rsidR="00F15808">
        <w:rPr>
          <w:color w:val="000000"/>
        </w:rPr>
        <w:t>first</w:t>
      </w:r>
      <w:r w:rsidR="008A12EE">
        <w:rPr>
          <w:color w:val="000000"/>
        </w:rPr>
        <w:t xml:space="preserve"> address</w:t>
      </w:r>
      <w:r w:rsidR="00F15808">
        <w:rPr>
          <w:color w:val="000000"/>
        </w:rPr>
        <w:t>es</w:t>
      </w:r>
      <w:r w:rsidR="008A12EE">
        <w:rPr>
          <w:color w:val="000000"/>
        </w:rPr>
        <w:t xml:space="preserve"> the different instances and evocations of the SCL approach in EHEA polic</w:t>
      </w:r>
      <w:r w:rsidR="00B97538">
        <w:rPr>
          <w:color w:val="000000"/>
        </w:rPr>
        <w:t>ies</w:t>
      </w:r>
      <w:r w:rsidR="00EC3E3D">
        <w:rPr>
          <w:color w:val="000000"/>
        </w:rPr>
        <w:t>. Second</w:t>
      </w:r>
      <w:r w:rsidR="008A12EE">
        <w:rPr>
          <w:color w:val="000000"/>
        </w:rPr>
        <w:t xml:space="preserve">, </w:t>
      </w:r>
      <w:r w:rsidR="00EC3E3D">
        <w:rPr>
          <w:color w:val="000000"/>
        </w:rPr>
        <w:t>it</w:t>
      </w:r>
      <w:r w:rsidR="008A12EE">
        <w:rPr>
          <w:color w:val="000000"/>
        </w:rPr>
        <w:t xml:space="preserve"> </w:t>
      </w:r>
      <w:r w:rsidR="00F15808">
        <w:rPr>
          <w:color w:val="000000"/>
        </w:rPr>
        <w:t xml:space="preserve">seeks </w:t>
      </w:r>
      <w:r w:rsidR="008A12EE">
        <w:rPr>
          <w:color w:val="000000"/>
        </w:rPr>
        <w:t xml:space="preserve">to clarify </w:t>
      </w:r>
      <w:r w:rsidR="00B97538">
        <w:rPr>
          <w:color w:val="000000"/>
        </w:rPr>
        <w:t xml:space="preserve">the </w:t>
      </w:r>
      <w:r w:rsidR="008A12EE">
        <w:rPr>
          <w:color w:val="000000"/>
        </w:rPr>
        <w:t>conceptual foundations</w:t>
      </w:r>
      <w:r w:rsidR="00EC3E3D">
        <w:rPr>
          <w:color w:val="000000"/>
        </w:rPr>
        <w:t xml:space="preserve"> of SCL</w:t>
      </w:r>
      <w:r w:rsidR="008A12EE">
        <w:rPr>
          <w:color w:val="000000"/>
        </w:rPr>
        <w:t xml:space="preserve">. </w:t>
      </w:r>
      <w:r w:rsidRPr="00D71EC8">
        <w:rPr>
          <w:color w:val="000000"/>
        </w:rPr>
        <w:t>Two propositions are put forward</w:t>
      </w:r>
      <w:r w:rsidR="008A12EE">
        <w:rPr>
          <w:color w:val="000000"/>
        </w:rPr>
        <w:t xml:space="preserve">. </w:t>
      </w:r>
      <w:r w:rsidR="008A12EE" w:rsidRPr="00D71EC8">
        <w:rPr>
          <w:color w:val="000000"/>
        </w:rPr>
        <w:t xml:space="preserve">First, SCL should be understood as a “meta-concept” to conceptually clear ground from the eclectic </w:t>
      </w:r>
      <w:r w:rsidR="00B97538">
        <w:rPr>
          <w:color w:val="000000"/>
        </w:rPr>
        <w:t xml:space="preserve">its </w:t>
      </w:r>
      <w:r w:rsidR="008A12EE" w:rsidRPr="00D71EC8">
        <w:rPr>
          <w:color w:val="000000"/>
        </w:rPr>
        <w:t xml:space="preserve">use in association to a broad variety of policy issues, such as </w:t>
      </w:r>
      <w:r w:rsidR="008A12EE">
        <w:rPr>
          <w:color w:val="000000"/>
        </w:rPr>
        <w:t xml:space="preserve">pedagogy, </w:t>
      </w:r>
      <w:r w:rsidR="00B97538">
        <w:rPr>
          <w:color w:val="000000"/>
        </w:rPr>
        <w:t xml:space="preserve">assessment, </w:t>
      </w:r>
      <w:r w:rsidR="008A12EE" w:rsidRPr="00D71EC8">
        <w:rPr>
          <w:color w:val="000000"/>
        </w:rPr>
        <w:t xml:space="preserve">qualification frameworks, </w:t>
      </w:r>
      <w:r w:rsidR="00D875E0">
        <w:rPr>
          <w:color w:val="000000"/>
        </w:rPr>
        <w:t>curriculum development</w:t>
      </w:r>
      <w:r w:rsidR="00B97538">
        <w:rPr>
          <w:color w:val="000000"/>
        </w:rPr>
        <w:t xml:space="preserve">, </w:t>
      </w:r>
      <w:r w:rsidR="008A12EE">
        <w:rPr>
          <w:color w:val="000000"/>
        </w:rPr>
        <w:t>student services</w:t>
      </w:r>
      <w:r w:rsidR="00B97538">
        <w:rPr>
          <w:color w:val="000000"/>
        </w:rPr>
        <w:t xml:space="preserve"> and student involvement in decision-making</w:t>
      </w:r>
      <w:r w:rsidR="008A12EE" w:rsidRPr="00D71EC8">
        <w:rPr>
          <w:color w:val="000000"/>
        </w:rPr>
        <w:t xml:space="preserve">. Second, </w:t>
      </w:r>
      <w:r w:rsidR="006C59F2">
        <w:rPr>
          <w:color w:val="000000"/>
        </w:rPr>
        <w:t>student engagement has been applied as a conceptual foundation to SCL. Th</w:t>
      </w:r>
      <w:r w:rsidR="00EC3E3D">
        <w:rPr>
          <w:color w:val="000000"/>
        </w:rPr>
        <w:t>e</w:t>
      </w:r>
      <w:r w:rsidR="006C59F2">
        <w:rPr>
          <w:color w:val="000000"/>
        </w:rPr>
        <w:t xml:space="preserve"> article questions </w:t>
      </w:r>
      <w:r w:rsidR="00B97538">
        <w:rPr>
          <w:color w:val="000000"/>
        </w:rPr>
        <w:t>the suitability of student engagement as a conceptual foundation of SCL. The</w:t>
      </w:r>
      <w:r w:rsidRPr="00D71EC8">
        <w:rPr>
          <w:color w:val="000000"/>
        </w:rPr>
        <w:t xml:space="preserve"> root concern of SCL is not </w:t>
      </w:r>
      <w:r w:rsidR="006C59F2">
        <w:rPr>
          <w:color w:val="000000"/>
        </w:rPr>
        <w:t xml:space="preserve">propensity to different types of student action </w:t>
      </w:r>
      <w:r w:rsidRPr="00D71EC8">
        <w:rPr>
          <w:color w:val="000000"/>
        </w:rPr>
        <w:t xml:space="preserve">as implied in student engagement </w:t>
      </w:r>
      <w:r w:rsidR="00E31ABB" w:rsidRPr="00D71EC8">
        <w:rPr>
          <w:color w:val="000000"/>
        </w:rPr>
        <w:t>concept</w:t>
      </w:r>
      <w:r w:rsidR="00E31ABB">
        <w:rPr>
          <w:color w:val="000000"/>
        </w:rPr>
        <w:t>ualizations</w:t>
      </w:r>
      <w:r w:rsidRPr="00D71EC8">
        <w:rPr>
          <w:color w:val="000000"/>
        </w:rPr>
        <w:t>, but rather student agency as students’ capabilities to intervene in and influence their learning environment</w:t>
      </w:r>
      <w:r w:rsidR="006C59F2">
        <w:rPr>
          <w:color w:val="000000"/>
        </w:rPr>
        <w:t>s</w:t>
      </w:r>
      <w:r w:rsidR="004F6D57">
        <w:rPr>
          <w:color w:val="000000"/>
        </w:rPr>
        <w:t xml:space="preserve"> and learning pathways</w:t>
      </w:r>
      <w:r w:rsidRPr="00D71EC8">
        <w:rPr>
          <w:color w:val="000000"/>
        </w:rPr>
        <w:t>.</w:t>
      </w:r>
    </w:p>
    <w:p w14:paraId="68256579" w14:textId="77777777" w:rsidR="007E4A42" w:rsidRPr="00D71EC8"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rFonts w:ascii="Trebuchet MS" w:hAnsi="Trebuchet MS" w:cs="Trebuchet MS"/>
          <w:color w:val="000000"/>
        </w:rPr>
      </w:pPr>
    </w:p>
    <w:p w14:paraId="7DB2C48B" w14:textId="77777777" w:rsidR="007E4A42" w:rsidRPr="00D71EC8" w:rsidRDefault="007E4A42" w:rsidP="00AB66F3">
      <w:pPr>
        <w:pStyle w:val="Heading1"/>
      </w:pPr>
      <w:r w:rsidRPr="00D71EC8">
        <w:t>Introduction</w:t>
      </w:r>
    </w:p>
    <w:p w14:paraId="5451916F" w14:textId="47FC10F9" w:rsidR="006C59F2" w:rsidRDefault="008A12EE"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rFonts w:ascii="Trebuchet MS" w:hAnsi="Trebuchet MS" w:cs="Trebuchet MS"/>
          <w:color w:val="000000"/>
        </w:rPr>
        <w:t xml:space="preserve">At </w:t>
      </w:r>
      <w:r w:rsidR="007E4A42" w:rsidRPr="00D71EC8">
        <w:rPr>
          <w:color w:val="000000"/>
        </w:rPr>
        <w:t xml:space="preserve">the Yerevan Ministerial Summit of the European Higher Education Area </w:t>
      </w:r>
      <w:r>
        <w:rPr>
          <w:color w:val="000000"/>
        </w:rPr>
        <w:t xml:space="preserve">(EHEA) </w:t>
      </w:r>
      <w:r w:rsidR="007E4A42" w:rsidRPr="00D71EC8">
        <w:rPr>
          <w:color w:val="000000"/>
        </w:rPr>
        <w:t>in May 2015</w:t>
      </w:r>
      <w:r>
        <w:rPr>
          <w:color w:val="000000"/>
        </w:rPr>
        <w:t>,</w:t>
      </w:r>
      <w:r w:rsidR="007E4A42" w:rsidRPr="00D71EC8">
        <w:rPr>
          <w:color w:val="000000"/>
        </w:rPr>
        <w:t xml:space="preserve"> European Ministers responsible for higher education affirmed that enhancing quality of teaching and learning be one of the key objectives of the </w:t>
      </w:r>
      <w:r>
        <w:rPr>
          <w:color w:val="000000"/>
        </w:rPr>
        <w:t>EHEA</w:t>
      </w:r>
      <w:r w:rsidR="007E4A42" w:rsidRPr="00D71EC8">
        <w:rPr>
          <w:color w:val="000000"/>
        </w:rPr>
        <w:t xml:space="preserve">, and </w:t>
      </w:r>
      <w:r>
        <w:rPr>
          <w:color w:val="000000"/>
        </w:rPr>
        <w:t>student-centered learning (</w:t>
      </w:r>
      <w:r w:rsidR="007E4A42" w:rsidRPr="00D71EC8">
        <w:rPr>
          <w:color w:val="000000"/>
        </w:rPr>
        <w:t>SCL</w:t>
      </w:r>
      <w:r>
        <w:rPr>
          <w:color w:val="000000"/>
        </w:rPr>
        <w:t xml:space="preserve">) </w:t>
      </w:r>
      <w:r w:rsidR="007E4A42" w:rsidRPr="00D71EC8">
        <w:rPr>
          <w:color w:val="000000"/>
        </w:rPr>
        <w:t xml:space="preserve">its key principle. </w:t>
      </w:r>
      <w:r w:rsidR="00F15808">
        <w:rPr>
          <w:color w:val="000000"/>
        </w:rPr>
        <w:t>S</w:t>
      </w:r>
      <w:r w:rsidR="00F15808" w:rsidRPr="00D71EC8">
        <w:rPr>
          <w:color w:val="000000"/>
        </w:rPr>
        <w:t>tudent-centered learning, teaching and assessment</w:t>
      </w:r>
      <w:r w:rsidR="00F15808">
        <w:rPr>
          <w:color w:val="000000"/>
        </w:rPr>
        <w:t xml:space="preserve"> </w:t>
      </w:r>
      <w:r w:rsidR="00B97538">
        <w:rPr>
          <w:color w:val="000000"/>
        </w:rPr>
        <w:t>was introduced as a new standard in</w:t>
      </w:r>
      <w:r w:rsidR="00F15808">
        <w:rPr>
          <w:color w:val="000000"/>
        </w:rPr>
        <w:t xml:space="preserve"> the </w:t>
      </w:r>
      <w:r w:rsidR="007E4A42" w:rsidRPr="00D71EC8">
        <w:rPr>
          <w:color w:val="000000"/>
        </w:rPr>
        <w:t>revised European Standards and Guidelines for Q</w:t>
      </w:r>
      <w:r w:rsidR="006C59F2">
        <w:rPr>
          <w:color w:val="000000"/>
        </w:rPr>
        <w:t>uality Assurance in Europe (ESG</w:t>
      </w:r>
      <w:r w:rsidR="007E4A42" w:rsidRPr="00D71EC8">
        <w:rPr>
          <w:color w:val="000000"/>
        </w:rPr>
        <w:t xml:space="preserve">), </w:t>
      </w:r>
      <w:r w:rsidR="00B97538">
        <w:rPr>
          <w:color w:val="000000"/>
        </w:rPr>
        <w:t xml:space="preserve">against </w:t>
      </w:r>
      <w:r w:rsidR="007E4A42" w:rsidRPr="00D71EC8">
        <w:rPr>
          <w:color w:val="000000"/>
        </w:rPr>
        <w:t xml:space="preserve">which practices by European higher education institutions will be assessed </w:t>
      </w:r>
      <w:r w:rsidR="00F15808">
        <w:rPr>
          <w:color w:val="000000"/>
        </w:rPr>
        <w:t>in</w:t>
      </w:r>
      <w:r w:rsidR="007E4A42" w:rsidRPr="00D71EC8">
        <w:rPr>
          <w:color w:val="000000"/>
        </w:rPr>
        <w:t xml:space="preserve"> accreditation and external quality assurance </w:t>
      </w:r>
      <w:r w:rsidR="00F15808">
        <w:rPr>
          <w:color w:val="000000"/>
        </w:rPr>
        <w:t>procedures</w:t>
      </w:r>
      <w:r w:rsidR="007E4A42" w:rsidRPr="00D71EC8">
        <w:rPr>
          <w:color w:val="000000"/>
        </w:rPr>
        <w:t xml:space="preserve"> (ESG, 2015, point 1.3). </w:t>
      </w:r>
      <w:r w:rsidR="006C59F2">
        <w:rPr>
          <w:color w:val="000000"/>
        </w:rPr>
        <w:t>ESG have</w:t>
      </w:r>
      <w:r w:rsidR="00F15808">
        <w:rPr>
          <w:color w:val="000000"/>
        </w:rPr>
        <w:t xml:space="preserve"> powerful impact on institutional po</w:t>
      </w:r>
      <w:r w:rsidR="006C59F2">
        <w:rPr>
          <w:color w:val="000000"/>
        </w:rPr>
        <w:t>licies and practices</w:t>
      </w:r>
      <w:r w:rsidR="00F15808">
        <w:rPr>
          <w:color w:val="000000"/>
        </w:rPr>
        <w:t xml:space="preserve">. Higher education institutions </w:t>
      </w:r>
      <w:r w:rsidR="007E4A42" w:rsidRPr="00D71EC8">
        <w:rPr>
          <w:color w:val="000000"/>
        </w:rPr>
        <w:t xml:space="preserve">will seek to implement SCL to comply with the standard. </w:t>
      </w:r>
    </w:p>
    <w:p w14:paraId="1B3F5378" w14:textId="7D110B5C" w:rsidR="00895263" w:rsidRDefault="006C59F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lastRenderedPageBreak/>
        <w:t>SCL appears widely accepted among the EHEA</w:t>
      </w:r>
      <w:r w:rsidR="00F15808" w:rsidRPr="00D71EC8">
        <w:rPr>
          <w:color w:val="000000"/>
        </w:rPr>
        <w:t xml:space="preserve"> stakeholders</w:t>
      </w:r>
      <w:r w:rsidR="003472AE">
        <w:rPr>
          <w:color w:val="000000"/>
        </w:rPr>
        <w:t xml:space="preserve">. </w:t>
      </w:r>
      <w:r w:rsidR="00B97538">
        <w:rPr>
          <w:color w:val="000000"/>
        </w:rPr>
        <w:t xml:space="preserve">It is </w:t>
      </w:r>
      <w:r w:rsidR="00895263">
        <w:rPr>
          <w:color w:val="000000"/>
        </w:rPr>
        <w:t>p</w:t>
      </w:r>
      <w:r w:rsidR="00185DE2">
        <w:rPr>
          <w:color w:val="000000"/>
        </w:rPr>
        <w:t>ortrayed as the antidote of the</w:t>
      </w:r>
      <w:r w:rsidR="00895263">
        <w:rPr>
          <w:color w:val="000000"/>
        </w:rPr>
        <w:t xml:space="preserve"> “traditional approach” </w:t>
      </w:r>
      <w:r w:rsidR="00B97538">
        <w:rPr>
          <w:color w:val="000000"/>
        </w:rPr>
        <w:t>associated with</w:t>
      </w:r>
      <w:r w:rsidR="00185DE2">
        <w:rPr>
          <w:color w:val="000000"/>
        </w:rPr>
        <w:t xml:space="preserve"> fully-</w:t>
      </w:r>
      <w:r w:rsidR="00185DE2" w:rsidRPr="00AE0547">
        <w:rPr>
          <w:color w:val="000000"/>
        </w:rPr>
        <w:t xml:space="preserve">guided </w:t>
      </w:r>
      <w:r w:rsidR="00185DE2">
        <w:rPr>
          <w:color w:val="000000"/>
        </w:rPr>
        <w:t xml:space="preserve">direct </w:t>
      </w:r>
      <w:r w:rsidR="00185DE2" w:rsidRPr="00AE0547">
        <w:rPr>
          <w:color w:val="000000"/>
        </w:rPr>
        <w:t>instruction</w:t>
      </w:r>
      <w:r w:rsidR="00895263">
        <w:rPr>
          <w:color w:val="000000"/>
        </w:rPr>
        <w:t xml:space="preserve">. </w:t>
      </w:r>
      <w:r w:rsidR="00185DE2">
        <w:rPr>
          <w:color w:val="000000"/>
        </w:rPr>
        <w:t xml:space="preserve">Despite the universal appeal, SCL remains poorly defined in policy documents. </w:t>
      </w:r>
      <w:r w:rsidR="00185DE2" w:rsidRPr="00D71EC8">
        <w:rPr>
          <w:color w:val="000000"/>
        </w:rPr>
        <w:t>The ESG</w:t>
      </w:r>
      <w:r w:rsidR="00185DE2">
        <w:rPr>
          <w:color w:val="000000"/>
        </w:rPr>
        <w:t xml:space="preserve">, as the key regulatory instrument of the EHEA, refer to SCL in rather abstract terms and the </w:t>
      </w:r>
      <w:r w:rsidR="00185DE2" w:rsidRPr="00D71EC8">
        <w:rPr>
          <w:color w:val="000000"/>
        </w:rPr>
        <w:t xml:space="preserve">indicators to evaluate the </w:t>
      </w:r>
      <w:r w:rsidR="00B97538">
        <w:rPr>
          <w:color w:val="000000"/>
        </w:rPr>
        <w:t xml:space="preserve">institutional </w:t>
      </w:r>
      <w:r w:rsidR="00185DE2" w:rsidRPr="00D71EC8">
        <w:rPr>
          <w:color w:val="000000"/>
        </w:rPr>
        <w:t xml:space="preserve">practices are only just being developed. </w:t>
      </w:r>
      <w:r w:rsidR="00100C19">
        <w:rPr>
          <w:color w:val="000000"/>
        </w:rPr>
        <w:t>S</w:t>
      </w:r>
      <w:r w:rsidR="00185DE2">
        <w:rPr>
          <w:color w:val="000000"/>
        </w:rPr>
        <w:t xml:space="preserve">everal other </w:t>
      </w:r>
      <w:r w:rsidR="00100C19">
        <w:rPr>
          <w:color w:val="000000"/>
        </w:rPr>
        <w:t xml:space="preserve">related </w:t>
      </w:r>
      <w:r w:rsidR="00185DE2">
        <w:rPr>
          <w:color w:val="000000"/>
        </w:rPr>
        <w:t>terms are used -</w:t>
      </w:r>
      <w:r w:rsidR="00185DE2" w:rsidRPr="00D71EC8">
        <w:rPr>
          <w:color w:val="000000"/>
        </w:rPr>
        <w:t xml:space="preserve"> student-centered teaching, student-centered assessment and student-centered learning environments </w:t>
      </w:r>
      <w:r w:rsidR="00786922">
        <w:rPr>
          <w:color w:val="000000"/>
        </w:rPr>
        <w:t xml:space="preserve">(SCLEs) </w:t>
      </w:r>
      <w:r w:rsidR="00185DE2">
        <w:rPr>
          <w:color w:val="000000"/>
        </w:rPr>
        <w:t xml:space="preserve">– without any real attempt to define and qualify them. This ambiguity </w:t>
      </w:r>
      <w:r w:rsidR="00185DE2" w:rsidRPr="00D71EC8">
        <w:rPr>
          <w:color w:val="000000"/>
        </w:rPr>
        <w:t xml:space="preserve">potentially jeopardizes </w:t>
      </w:r>
      <w:r w:rsidR="00185DE2">
        <w:rPr>
          <w:color w:val="000000"/>
        </w:rPr>
        <w:t>the</w:t>
      </w:r>
      <w:r w:rsidR="00185DE2" w:rsidRPr="00D71EC8">
        <w:rPr>
          <w:color w:val="000000"/>
        </w:rPr>
        <w:t xml:space="preserve"> intended implemen</w:t>
      </w:r>
      <w:r w:rsidR="00185DE2">
        <w:rPr>
          <w:color w:val="000000"/>
        </w:rPr>
        <w:t>tation of SCL</w:t>
      </w:r>
      <w:r w:rsidR="006A7C96">
        <w:rPr>
          <w:color w:val="000000"/>
        </w:rPr>
        <w:t xml:space="preserve"> (</w:t>
      </w:r>
      <w:r w:rsidR="006A7C96" w:rsidRPr="00D71EC8">
        <w:rPr>
          <w:color w:val="000000"/>
        </w:rPr>
        <w:t xml:space="preserve">ESU </w:t>
      </w:r>
      <w:r w:rsidR="00033EBC">
        <w:rPr>
          <w:color w:val="000000"/>
        </w:rPr>
        <w:t>&amp;</w:t>
      </w:r>
      <w:r w:rsidR="006A7C96" w:rsidRPr="00D71EC8">
        <w:rPr>
          <w:color w:val="000000"/>
        </w:rPr>
        <w:t xml:space="preserve"> EI, 2010a; European Commission/EACEA/Eurydice, 2012)</w:t>
      </w:r>
      <w:r w:rsidR="00786922">
        <w:rPr>
          <w:color w:val="000000"/>
        </w:rPr>
        <w:t>. Without cl</w:t>
      </w:r>
      <w:r w:rsidR="00100C19">
        <w:rPr>
          <w:color w:val="000000"/>
        </w:rPr>
        <w:t>arity to its meaning and specific set of indicators to assess institutional practice, almost anything can be “sold” as SCL</w:t>
      </w:r>
      <w:r w:rsidR="004F6D57">
        <w:rPr>
          <w:color w:val="000000"/>
        </w:rPr>
        <w:t xml:space="preserve"> to the evaluation panels, yet whether SCL as a principle systematically permeates all relevant education processes and structures within an institution. </w:t>
      </w:r>
      <w:r w:rsidR="00786922">
        <w:rPr>
          <w:color w:val="000000"/>
        </w:rPr>
        <w:t xml:space="preserve"> </w:t>
      </w:r>
    </w:p>
    <w:p w14:paraId="6615F475" w14:textId="3A597F56" w:rsidR="007E4A42" w:rsidRPr="00D71EC8" w:rsidRDefault="0078692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In the next section, t</w:t>
      </w:r>
      <w:r w:rsidRPr="00D71EC8">
        <w:rPr>
          <w:color w:val="000000"/>
        </w:rPr>
        <w:t xml:space="preserve">he article </w:t>
      </w:r>
      <w:r>
        <w:rPr>
          <w:color w:val="000000"/>
        </w:rPr>
        <w:t>first addresses the different instances and evocations of the SCL approach in EHEA policy documents</w:t>
      </w:r>
      <w:r w:rsidRPr="00D71EC8">
        <w:rPr>
          <w:color w:val="000000"/>
        </w:rPr>
        <w:t xml:space="preserve"> </w:t>
      </w:r>
      <w:r>
        <w:rPr>
          <w:color w:val="000000"/>
        </w:rPr>
        <w:t>and makes a case for develop</w:t>
      </w:r>
      <w:r w:rsidR="004F6D57">
        <w:rPr>
          <w:color w:val="000000"/>
        </w:rPr>
        <w:t xml:space="preserve">ing </w:t>
      </w:r>
      <w:r>
        <w:rPr>
          <w:color w:val="000000"/>
        </w:rPr>
        <w:t xml:space="preserve">clear indicators </w:t>
      </w:r>
      <w:r w:rsidRPr="00D71EC8">
        <w:rPr>
          <w:color w:val="000000"/>
        </w:rPr>
        <w:t xml:space="preserve">of SCL in policy </w:t>
      </w:r>
      <w:r>
        <w:rPr>
          <w:color w:val="000000"/>
        </w:rPr>
        <w:t xml:space="preserve">and policy-supporting </w:t>
      </w:r>
      <w:r w:rsidRPr="00D71EC8">
        <w:rPr>
          <w:color w:val="000000"/>
        </w:rPr>
        <w:t>documents</w:t>
      </w:r>
      <w:r>
        <w:rPr>
          <w:color w:val="000000"/>
        </w:rPr>
        <w:t xml:space="preserve">. Then the article moves to a discussion of conceptual foundations of SCL. </w:t>
      </w:r>
      <w:r w:rsidR="007E4A42" w:rsidRPr="00D71EC8">
        <w:rPr>
          <w:color w:val="000000"/>
        </w:rPr>
        <w:t xml:space="preserve">Scholarship on student engagement has so far presented the theoretical mainstream underpinning the policy and practice of SCL in Europe; that is in those few European countries, such as the UK and Ireland, </w:t>
      </w:r>
      <w:r w:rsidR="009A7912" w:rsidRPr="00D71EC8">
        <w:rPr>
          <w:color w:val="000000"/>
        </w:rPr>
        <w:t xml:space="preserve">which </w:t>
      </w:r>
      <w:r w:rsidR="007E4A42" w:rsidRPr="00D71EC8">
        <w:rPr>
          <w:color w:val="000000"/>
        </w:rPr>
        <w:t xml:space="preserve">have already purposefully integrated SCL into higher education. The evidence for this lies, for example, in the national policy “Students at the Hearth of the System” in the UK (2011) or the Irish Working Group to develop guidelines for student engagement in Irish Higher Education (2014). The evidence lies also in the use of student engagement surveys as the </w:t>
      </w:r>
      <w:r w:rsidR="009A7912" w:rsidRPr="00D71EC8">
        <w:rPr>
          <w:color w:val="000000"/>
        </w:rPr>
        <w:t>foremost</w:t>
      </w:r>
      <w:r w:rsidR="007E4A42" w:rsidRPr="00D71EC8">
        <w:rPr>
          <w:color w:val="000000"/>
        </w:rPr>
        <w:t xml:space="preserve"> tool for data collection on student experience in higher education (Klemen</w:t>
      </w:r>
      <w:r w:rsidR="006600E7" w:rsidRPr="00D71EC8">
        <w:rPr>
          <w:color w:val="000000"/>
        </w:rPr>
        <w:t>čič</w:t>
      </w:r>
      <w:r w:rsidR="007E4A42" w:rsidRPr="00D71EC8">
        <w:rPr>
          <w:color w:val="000000"/>
        </w:rPr>
        <w:t xml:space="preserve"> and </w:t>
      </w:r>
      <w:proofErr w:type="spellStart"/>
      <w:r w:rsidR="007E4A42" w:rsidRPr="00D71EC8">
        <w:rPr>
          <w:color w:val="000000"/>
        </w:rPr>
        <w:t>Chirikov</w:t>
      </w:r>
      <w:proofErr w:type="spellEnd"/>
      <w:r w:rsidR="006600E7" w:rsidRPr="00D71EC8">
        <w:rPr>
          <w:color w:val="000000"/>
        </w:rPr>
        <w:t>,</w:t>
      </w:r>
      <w:r w:rsidR="007E4A42" w:rsidRPr="00D71EC8">
        <w:rPr>
          <w:color w:val="000000"/>
        </w:rPr>
        <w:t xml:space="preserve"> 2015). </w:t>
      </w:r>
      <w:r w:rsidR="009A7912" w:rsidRPr="00D71EC8">
        <w:rPr>
          <w:color w:val="000000"/>
        </w:rPr>
        <w:t>Policy f</w:t>
      </w:r>
      <w:r w:rsidR="007E4A42" w:rsidRPr="00D71EC8">
        <w:rPr>
          <w:color w:val="000000"/>
        </w:rPr>
        <w:t xml:space="preserve">ocus on student engagement has presented a notable shift from </w:t>
      </w:r>
      <w:r w:rsidR="004F6D57">
        <w:rPr>
          <w:color w:val="000000"/>
        </w:rPr>
        <w:t>the</w:t>
      </w:r>
      <w:r w:rsidR="007E4A42" w:rsidRPr="00D71EC8">
        <w:rPr>
          <w:color w:val="000000"/>
        </w:rPr>
        <w:t xml:space="preserve"> </w:t>
      </w:r>
      <w:r w:rsidR="004F6D57">
        <w:rPr>
          <w:color w:val="000000"/>
        </w:rPr>
        <w:t>earlier</w:t>
      </w:r>
      <w:r w:rsidR="007E4A42" w:rsidRPr="00D71EC8">
        <w:rPr>
          <w:color w:val="000000"/>
        </w:rPr>
        <w:t xml:space="preserve"> emphasis on student satisfaction</w:t>
      </w:r>
      <w:r w:rsidR="009A7912" w:rsidRPr="00D71EC8">
        <w:rPr>
          <w:color w:val="000000"/>
        </w:rPr>
        <w:t xml:space="preserve">, which </w:t>
      </w:r>
      <w:r>
        <w:rPr>
          <w:color w:val="000000"/>
        </w:rPr>
        <w:t xml:space="preserve">holds </w:t>
      </w:r>
      <w:r w:rsidR="009A7912" w:rsidRPr="00D71EC8">
        <w:rPr>
          <w:color w:val="000000"/>
        </w:rPr>
        <w:t xml:space="preserve">more </w:t>
      </w:r>
      <w:r>
        <w:rPr>
          <w:color w:val="000000"/>
        </w:rPr>
        <w:t>market-oriented</w:t>
      </w:r>
      <w:r w:rsidR="009A7912" w:rsidRPr="00D71EC8">
        <w:rPr>
          <w:color w:val="000000"/>
        </w:rPr>
        <w:t xml:space="preserve"> connotations of transactional relationship</w:t>
      </w:r>
      <w:r w:rsidR="004F6D57">
        <w:rPr>
          <w:color w:val="000000"/>
        </w:rPr>
        <w:t>s</w:t>
      </w:r>
      <w:r w:rsidR="009A7912" w:rsidRPr="00D71EC8">
        <w:rPr>
          <w:color w:val="000000"/>
        </w:rPr>
        <w:t xml:space="preserve"> between students</w:t>
      </w:r>
      <w:r>
        <w:rPr>
          <w:color w:val="000000"/>
        </w:rPr>
        <w:t xml:space="preserve"> </w:t>
      </w:r>
      <w:r w:rsidR="009A7912" w:rsidRPr="00D71EC8">
        <w:rPr>
          <w:color w:val="000000"/>
        </w:rPr>
        <w:t xml:space="preserve">and their universities. Increasingly, surveys </w:t>
      </w:r>
      <w:r>
        <w:rPr>
          <w:color w:val="000000"/>
        </w:rPr>
        <w:t>include</w:t>
      </w:r>
      <w:r w:rsidR="009A7912" w:rsidRPr="00D71EC8">
        <w:rPr>
          <w:color w:val="000000"/>
        </w:rPr>
        <w:t xml:space="preserve"> questions </w:t>
      </w:r>
      <w:r>
        <w:rPr>
          <w:color w:val="000000"/>
        </w:rPr>
        <w:t>that</w:t>
      </w:r>
      <w:r w:rsidR="009A7912" w:rsidRPr="00D71EC8">
        <w:rPr>
          <w:color w:val="000000"/>
        </w:rPr>
        <w:t xml:space="preserve"> measure </w:t>
      </w:r>
      <w:r w:rsidR="007E4A42" w:rsidRPr="00D71EC8">
        <w:rPr>
          <w:color w:val="000000"/>
        </w:rPr>
        <w:t xml:space="preserve">students’ </w:t>
      </w:r>
      <w:r>
        <w:rPr>
          <w:color w:val="000000"/>
        </w:rPr>
        <w:t>behavior</w:t>
      </w:r>
      <w:r w:rsidR="007E4A42" w:rsidRPr="00D71EC8">
        <w:rPr>
          <w:color w:val="000000"/>
        </w:rPr>
        <w:t xml:space="preserve"> in educationally purposeful activities, both inside and outside classroom</w:t>
      </w:r>
      <w:r w:rsidR="009A7912" w:rsidRPr="00D71EC8">
        <w:rPr>
          <w:color w:val="000000"/>
        </w:rPr>
        <w:t xml:space="preserve"> </w:t>
      </w:r>
      <w:r w:rsidR="009A7912" w:rsidRPr="004F6D57">
        <w:rPr>
          <w:color w:val="000000"/>
        </w:rPr>
        <w:t>(</w:t>
      </w:r>
      <w:proofErr w:type="spellStart"/>
      <w:r w:rsidR="009A7912" w:rsidRPr="004F6D57">
        <w:rPr>
          <w:color w:val="000000"/>
        </w:rPr>
        <w:t>Kuh</w:t>
      </w:r>
      <w:proofErr w:type="spellEnd"/>
      <w:r w:rsidR="005A31D6">
        <w:rPr>
          <w:color w:val="000000"/>
        </w:rPr>
        <w:t>, 2001</w:t>
      </w:r>
      <w:r w:rsidR="009A7912" w:rsidRPr="00D71EC8">
        <w:rPr>
          <w:color w:val="000000"/>
        </w:rPr>
        <w:t>)</w:t>
      </w:r>
      <w:r>
        <w:rPr>
          <w:color w:val="000000"/>
        </w:rPr>
        <w:t>. S</w:t>
      </w:r>
      <w:r w:rsidR="007E4A42" w:rsidRPr="00D71EC8">
        <w:rPr>
          <w:color w:val="000000"/>
        </w:rPr>
        <w:t xml:space="preserve">tudent engagement is </w:t>
      </w:r>
      <w:r w:rsidR="009A7912" w:rsidRPr="00D71EC8">
        <w:rPr>
          <w:color w:val="000000"/>
        </w:rPr>
        <w:t xml:space="preserve">becoming </w:t>
      </w:r>
      <w:r w:rsidR="007E4A42" w:rsidRPr="00D71EC8">
        <w:rPr>
          <w:color w:val="000000"/>
        </w:rPr>
        <w:t xml:space="preserve">the conceptual tool that policy-makers </w:t>
      </w:r>
      <w:r>
        <w:rPr>
          <w:color w:val="000000"/>
        </w:rPr>
        <w:t xml:space="preserve">and higher education professionals </w:t>
      </w:r>
      <w:r w:rsidR="007E4A42" w:rsidRPr="00D71EC8">
        <w:rPr>
          <w:color w:val="000000"/>
        </w:rPr>
        <w:t xml:space="preserve">across EHEA </w:t>
      </w:r>
      <w:r>
        <w:rPr>
          <w:color w:val="000000"/>
        </w:rPr>
        <w:t>turn to</w:t>
      </w:r>
      <w:r w:rsidR="007E4A42" w:rsidRPr="00D71EC8">
        <w:rPr>
          <w:color w:val="000000"/>
        </w:rPr>
        <w:t xml:space="preserve"> </w:t>
      </w:r>
      <w:r w:rsidR="004F6D57">
        <w:rPr>
          <w:color w:val="000000"/>
        </w:rPr>
        <w:t>develop</w:t>
      </w:r>
      <w:r w:rsidR="007E4A42" w:rsidRPr="00D71EC8">
        <w:rPr>
          <w:color w:val="000000"/>
        </w:rPr>
        <w:t xml:space="preserve"> their national policies </w:t>
      </w:r>
      <w:r>
        <w:rPr>
          <w:color w:val="000000"/>
        </w:rPr>
        <w:t xml:space="preserve">on SCL </w:t>
      </w:r>
      <w:r w:rsidR="007E4A42" w:rsidRPr="00D71EC8">
        <w:rPr>
          <w:color w:val="000000"/>
        </w:rPr>
        <w:t xml:space="preserve">and instruments to guide institutional practices. </w:t>
      </w:r>
    </w:p>
    <w:p w14:paraId="165A743D" w14:textId="47730CAC" w:rsidR="007E4A42" w:rsidRDefault="009A7912" w:rsidP="00D71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D71EC8">
        <w:rPr>
          <w:color w:val="000000"/>
        </w:rPr>
        <w:t>This</w:t>
      </w:r>
      <w:r w:rsidR="007E4A42" w:rsidRPr="00D71EC8">
        <w:rPr>
          <w:color w:val="000000"/>
        </w:rPr>
        <w:t xml:space="preserve"> article questions suitability of student engagement as conceptual </w:t>
      </w:r>
      <w:r w:rsidRPr="00D71EC8">
        <w:rPr>
          <w:color w:val="000000"/>
        </w:rPr>
        <w:t>foundation underpinning</w:t>
      </w:r>
      <w:r w:rsidR="007E4A42" w:rsidRPr="00D71EC8">
        <w:rPr>
          <w:color w:val="000000"/>
        </w:rPr>
        <w:t xml:space="preserve"> policy development and implementation of SCL. </w:t>
      </w:r>
      <w:r w:rsidR="00786922">
        <w:rPr>
          <w:color w:val="000000"/>
        </w:rPr>
        <w:t>It</w:t>
      </w:r>
      <w:r w:rsidRPr="00D71EC8">
        <w:rPr>
          <w:color w:val="000000"/>
        </w:rPr>
        <w:t xml:space="preserve"> aims to </w:t>
      </w:r>
      <w:r w:rsidR="00786922">
        <w:rPr>
          <w:color w:val="000000"/>
        </w:rPr>
        <w:t>offer</w:t>
      </w:r>
      <w:r w:rsidR="007E4A42" w:rsidRPr="00D71EC8">
        <w:rPr>
          <w:color w:val="000000"/>
        </w:rPr>
        <w:t xml:space="preserve"> a critical and alternative perspective on student engagement </w:t>
      </w:r>
      <w:r w:rsidRPr="00D71EC8">
        <w:rPr>
          <w:color w:val="000000"/>
        </w:rPr>
        <w:t xml:space="preserve">in </w:t>
      </w:r>
      <w:r w:rsidR="00786922">
        <w:rPr>
          <w:color w:val="000000"/>
        </w:rPr>
        <w:t xml:space="preserve">the </w:t>
      </w:r>
      <w:r w:rsidRPr="00D71EC8">
        <w:rPr>
          <w:color w:val="000000"/>
        </w:rPr>
        <w:t xml:space="preserve">context of its application to </w:t>
      </w:r>
      <w:r w:rsidR="007E4A42" w:rsidRPr="00D71EC8">
        <w:rPr>
          <w:color w:val="000000"/>
        </w:rPr>
        <w:t>polic</w:t>
      </w:r>
      <w:r w:rsidRPr="00D71EC8">
        <w:rPr>
          <w:color w:val="000000"/>
        </w:rPr>
        <w:t xml:space="preserve">ies </w:t>
      </w:r>
      <w:r w:rsidR="007E4A42" w:rsidRPr="00D71EC8">
        <w:rPr>
          <w:color w:val="000000"/>
        </w:rPr>
        <w:t xml:space="preserve">on SCL. The main argument is that student engagement </w:t>
      </w:r>
      <w:r w:rsidRPr="00D71EC8">
        <w:rPr>
          <w:color w:val="000000"/>
        </w:rPr>
        <w:t xml:space="preserve">conceptually </w:t>
      </w:r>
      <w:r w:rsidR="007E4A42" w:rsidRPr="00D71EC8">
        <w:rPr>
          <w:color w:val="000000"/>
        </w:rPr>
        <w:t xml:space="preserve">fails to </w:t>
      </w:r>
      <w:r w:rsidRPr="00D71EC8">
        <w:rPr>
          <w:color w:val="000000"/>
        </w:rPr>
        <w:t>sufficiently address</w:t>
      </w:r>
      <w:r w:rsidR="007E4A42" w:rsidRPr="00D71EC8">
        <w:rPr>
          <w:color w:val="000000"/>
        </w:rPr>
        <w:t xml:space="preserve"> student autonomy, self-regulation </w:t>
      </w:r>
      <w:r w:rsidR="008D3A44" w:rsidRPr="00D71EC8">
        <w:rPr>
          <w:color w:val="000000"/>
        </w:rPr>
        <w:t>and</w:t>
      </w:r>
      <w:r w:rsidR="007E4A42" w:rsidRPr="00D71EC8">
        <w:rPr>
          <w:color w:val="000000"/>
        </w:rPr>
        <w:t xml:space="preserve"> </w:t>
      </w:r>
      <w:r w:rsidR="004F6D57">
        <w:rPr>
          <w:color w:val="000000"/>
        </w:rPr>
        <w:t>choice</w:t>
      </w:r>
      <w:r w:rsidR="007E4A42" w:rsidRPr="00D71EC8">
        <w:rPr>
          <w:color w:val="000000"/>
        </w:rPr>
        <w:t>, all of which have been highlighted by the literature as essential elements of SCL. Student engagement has been defined as “the investment of time, effort and other relevant resources by both students and their institutions to optimize the student experience and enhance learning outcomes and development of students, and the performance and reputation of the institution” (</w:t>
      </w:r>
      <w:proofErr w:type="spellStart"/>
      <w:r w:rsidR="007E4A42" w:rsidRPr="00D71EC8">
        <w:rPr>
          <w:color w:val="000000"/>
        </w:rPr>
        <w:t>Trowler</w:t>
      </w:r>
      <w:proofErr w:type="spellEnd"/>
      <w:r w:rsidR="007E4A42" w:rsidRPr="00D71EC8">
        <w:rPr>
          <w:color w:val="000000"/>
        </w:rPr>
        <w:t xml:space="preserve"> </w:t>
      </w:r>
      <w:r w:rsidR="00DE3AEF">
        <w:rPr>
          <w:color w:val="000000"/>
        </w:rPr>
        <w:t>&amp;</w:t>
      </w:r>
      <w:r w:rsidR="007E4A42" w:rsidRPr="00D71EC8">
        <w:rPr>
          <w:color w:val="000000"/>
        </w:rPr>
        <w:t xml:space="preserve"> </w:t>
      </w:r>
      <w:proofErr w:type="spellStart"/>
      <w:r w:rsidR="007E4A42" w:rsidRPr="00D71EC8">
        <w:rPr>
          <w:color w:val="000000"/>
        </w:rPr>
        <w:t>Trowler</w:t>
      </w:r>
      <w:proofErr w:type="spellEnd"/>
      <w:r w:rsidR="007E4A42" w:rsidRPr="00D71EC8">
        <w:rPr>
          <w:color w:val="000000"/>
        </w:rPr>
        <w:t xml:space="preserve">, 2011). To measure </w:t>
      </w:r>
      <w:r w:rsidR="006600E7" w:rsidRPr="00D71EC8">
        <w:rPr>
          <w:color w:val="000000"/>
        </w:rPr>
        <w:t>student engagement, survey</w:t>
      </w:r>
      <w:r w:rsidR="008D3A44" w:rsidRPr="00D71EC8">
        <w:rPr>
          <w:color w:val="000000"/>
        </w:rPr>
        <w:t xml:space="preserve"> questions focus </w:t>
      </w:r>
      <w:r w:rsidR="006600E7" w:rsidRPr="00D71EC8">
        <w:rPr>
          <w:color w:val="000000"/>
        </w:rPr>
        <w:t xml:space="preserve">on </w:t>
      </w:r>
      <w:r w:rsidR="007E4A42" w:rsidRPr="00D71EC8">
        <w:rPr>
          <w:color w:val="000000"/>
        </w:rPr>
        <w:t xml:space="preserve">the different types of behavior conducted or experienced by students: “During the current </w:t>
      </w:r>
      <w:r w:rsidR="007E4A42" w:rsidRPr="00D71EC8">
        <w:rPr>
          <w:color w:val="000000"/>
        </w:rPr>
        <w:lastRenderedPageBreak/>
        <w:t>academic year, about how often have you asked questions in class?” “Received timely written or oral feedback from teachers/tutors on your academic performance?” “Tutored or taught other college students?” Such questions</w:t>
      </w:r>
      <w:r w:rsidR="008D3A44" w:rsidRPr="00D71EC8">
        <w:rPr>
          <w:color w:val="000000"/>
        </w:rPr>
        <w:t xml:space="preserve"> although indicative of student behavioral patterns</w:t>
      </w:r>
      <w:r w:rsidR="007E4A42" w:rsidRPr="00D71EC8">
        <w:rPr>
          <w:color w:val="000000"/>
        </w:rPr>
        <w:t xml:space="preserve"> </w:t>
      </w:r>
      <w:r w:rsidR="006A7C96">
        <w:rPr>
          <w:color w:val="000000"/>
        </w:rPr>
        <w:t xml:space="preserve">and propensity of certain behaviors </w:t>
      </w:r>
      <w:r w:rsidR="007E4A42" w:rsidRPr="00D71EC8">
        <w:rPr>
          <w:color w:val="000000"/>
        </w:rPr>
        <w:t>reveal very little about students’ capabilities to intervene in and influence their learning environment</w:t>
      </w:r>
      <w:r w:rsidR="004F6D57">
        <w:rPr>
          <w:color w:val="000000"/>
        </w:rPr>
        <w:t>s and learning pathways</w:t>
      </w:r>
      <w:r w:rsidR="007E4A42" w:rsidRPr="00D71EC8">
        <w:rPr>
          <w:color w:val="000000"/>
        </w:rPr>
        <w:t xml:space="preserve">, i.e. student agency, which is what student-centeredness is </w:t>
      </w:r>
      <w:r w:rsidR="006A7C96">
        <w:rPr>
          <w:color w:val="000000"/>
        </w:rPr>
        <w:t>essentially</w:t>
      </w:r>
      <w:r w:rsidR="007E4A42" w:rsidRPr="00D71EC8">
        <w:rPr>
          <w:color w:val="000000"/>
        </w:rPr>
        <w:t xml:space="preserve"> about. The article concludes with a discussion on the application of the concept of student agency in policies on SCL. </w:t>
      </w:r>
    </w:p>
    <w:p w14:paraId="298CAC35" w14:textId="77777777" w:rsidR="006A7C96" w:rsidRPr="00D71EC8" w:rsidRDefault="006A7C96" w:rsidP="00D71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p>
    <w:p w14:paraId="272A04A1" w14:textId="08E79EE9" w:rsidR="007E4A42" w:rsidRPr="00086AE8" w:rsidRDefault="0096590E" w:rsidP="00AB66F3">
      <w:pPr>
        <w:pStyle w:val="Heading1"/>
      </w:pPr>
      <w:r w:rsidRPr="00086AE8">
        <w:t>The meaning</w:t>
      </w:r>
      <w:r w:rsidR="006A7C96">
        <w:t>s</w:t>
      </w:r>
      <w:r w:rsidRPr="00086AE8">
        <w:t xml:space="preserve"> of SCL </w:t>
      </w:r>
      <w:r w:rsidR="006A7C96">
        <w:t>in EHEA policies</w:t>
      </w:r>
      <w:r w:rsidR="00493926">
        <w:t xml:space="preserve"> and SCL as a “meta concept”</w:t>
      </w:r>
    </w:p>
    <w:p w14:paraId="3630F3BB" w14:textId="1883145C" w:rsidR="00EC3E3D" w:rsidRDefault="006A7C96" w:rsidP="006A7C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The</w:t>
      </w:r>
      <w:r w:rsidRPr="00D71EC8">
        <w:rPr>
          <w:color w:val="000000"/>
        </w:rPr>
        <w:t xml:space="preserve"> Bologna Implementation Report </w:t>
      </w:r>
      <w:r>
        <w:rPr>
          <w:color w:val="000000"/>
        </w:rPr>
        <w:t xml:space="preserve">states that </w:t>
      </w:r>
      <w:r w:rsidR="004F6D57">
        <w:rPr>
          <w:color w:val="000000"/>
        </w:rPr>
        <w:t>‘</w:t>
      </w:r>
      <w:r w:rsidRPr="00D71EC8">
        <w:rPr>
          <w:color w:val="000000"/>
        </w:rPr>
        <w:t>genuine SCL is a complex matter that is difficult to integrate into everyday higher education reality</w:t>
      </w:r>
      <w:r w:rsidR="004F6D57">
        <w:rPr>
          <w:color w:val="000000"/>
        </w:rPr>
        <w:t xml:space="preserve">’ </w:t>
      </w:r>
      <w:r w:rsidR="004F6D57" w:rsidRPr="00D71EC8">
        <w:rPr>
          <w:color w:val="000000"/>
        </w:rPr>
        <w:t>(European Commi</w:t>
      </w:r>
      <w:r w:rsidR="004F6D57">
        <w:rPr>
          <w:color w:val="000000"/>
        </w:rPr>
        <w:t>ssion/EACEA/Eurydice, 2012, 52).</w:t>
      </w:r>
      <w:r w:rsidR="004F6D57" w:rsidRPr="00D71EC8">
        <w:rPr>
          <w:color w:val="000000"/>
        </w:rPr>
        <w:t xml:space="preserve"> </w:t>
      </w:r>
      <w:r w:rsidR="00B10A26" w:rsidRPr="00D71EC8">
        <w:rPr>
          <w:color w:val="000000"/>
        </w:rPr>
        <w:t xml:space="preserve">Quality assurance bodies and higher education institutions across Europe are presented with the task to </w:t>
      </w:r>
      <w:r w:rsidR="007E4A42" w:rsidRPr="00D71EC8">
        <w:rPr>
          <w:color w:val="000000"/>
        </w:rPr>
        <w:t xml:space="preserve">develop common interpretations of the approach. </w:t>
      </w:r>
      <w:r w:rsidR="00B10A26" w:rsidRPr="00D71EC8">
        <w:rPr>
          <w:color w:val="000000"/>
        </w:rPr>
        <w:t xml:space="preserve">The former </w:t>
      </w:r>
      <w:r w:rsidR="004F6D57">
        <w:rPr>
          <w:color w:val="000000"/>
        </w:rPr>
        <w:t>seek</w:t>
      </w:r>
      <w:r w:rsidR="00B10A26" w:rsidRPr="00D71EC8">
        <w:rPr>
          <w:color w:val="000000"/>
        </w:rPr>
        <w:t xml:space="preserve"> to come up with a list of meaningful indicators to evaluate and measure quality of SCL in practice. </w:t>
      </w:r>
      <w:r w:rsidR="007E4A42" w:rsidRPr="00D71EC8">
        <w:rPr>
          <w:color w:val="000000"/>
        </w:rPr>
        <w:t xml:space="preserve">The </w:t>
      </w:r>
      <w:r w:rsidR="00B10A26" w:rsidRPr="00D71EC8">
        <w:rPr>
          <w:color w:val="000000"/>
        </w:rPr>
        <w:t>latter</w:t>
      </w:r>
      <w:r w:rsidR="007E4A42" w:rsidRPr="00D71EC8">
        <w:rPr>
          <w:color w:val="000000"/>
        </w:rPr>
        <w:t xml:space="preserve"> </w:t>
      </w:r>
      <w:r w:rsidR="00B10A26" w:rsidRPr="00D71EC8">
        <w:rPr>
          <w:color w:val="000000"/>
        </w:rPr>
        <w:t>are developing</w:t>
      </w:r>
      <w:r w:rsidR="007E4A42" w:rsidRPr="00D71EC8">
        <w:rPr>
          <w:color w:val="000000"/>
        </w:rPr>
        <w:t xml:space="preserve"> institutional </w:t>
      </w:r>
      <w:r w:rsidR="00B10A26" w:rsidRPr="00D71EC8">
        <w:rPr>
          <w:color w:val="000000"/>
        </w:rPr>
        <w:t xml:space="preserve">policies and </w:t>
      </w:r>
      <w:r w:rsidR="007E4A42" w:rsidRPr="00D71EC8">
        <w:rPr>
          <w:color w:val="000000"/>
        </w:rPr>
        <w:t xml:space="preserve">practices to </w:t>
      </w:r>
      <w:r w:rsidR="00B10A26" w:rsidRPr="00D71EC8">
        <w:rPr>
          <w:color w:val="000000"/>
        </w:rPr>
        <w:t>implement SCL</w:t>
      </w:r>
      <w:r w:rsidR="007E4A42" w:rsidRPr="00D71EC8">
        <w:rPr>
          <w:color w:val="000000"/>
        </w:rPr>
        <w:t xml:space="preserve">. </w:t>
      </w:r>
      <w:r w:rsidR="00B10A26" w:rsidRPr="00D71EC8">
        <w:rPr>
          <w:color w:val="000000"/>
        </w:rPr>
        <w:t xml:space="preserve">This section </w:t>
      </w:r>
      <w:r w:rsidR="007E4A42" w:rsidRPr="00D71EC8">
        <w:rPr>
          <w:color w:val="000000"/>
        </w:rPr>
        <w:t>examine</w:t>
      </w:r>
      <w:r w:rsidR="00B10A26" w:rsidRPr="00D71EC8">
        <w:rPr>
          <w:color w:val="000000"/>
        </w:rPr>
        <w:t>s</w:t>
      </w:r>
      <w:r w:rsidR="007E4A42" w:rsidRPr="00D71EC8">
        <w:rPr>
          <w:color w:val="000000"/>
        </w:rPr>
        <w:t xml:space="preserve"> the different meanings attributed to SCL </w:t>
      </w:r>
      <w:r w:rsidR="00B10A26" w:rsidRPr="00D71EC8">
        <w:rPr>
          <w:color w:val="000000"/>
        </w:rPr>
        <w:t xml:space="preserve">in </w:t>
      </w:r>
      <w:r w:rsidR="004F6D57">
        <w:rPr>
          <w:color w:val="000000"/>
        </w:rPr>
        <w:t xml:space="preserve">the </w:t>
      </w:r>
      <w:r w:rsidR="00EC3E3D">
        <w:rPr>
          <w:color w:val="000000"/>
        </w:rPr>
        <w:t xml:space="preserve">key </w:t>
      </w:r>
      <w:r>
        <w:rPr>
          <w:color w:val="000000"/>
        </w:rPr>
        <w:t xml:space="preserve">EHEA </w:t>
      </w:r>
      <w:r w:rsidR="00B10A26" w:rsidRPr="00D71EC8">
        <w:rPr>
          <w:color w:val="000000"/>
        </w:rPr>
        <w:t xml:space="preserve">policy documents. </w:t>
      </w:r>
      <w:r w:rsidR="00EC3E3D">
        <w:rPr>
          <w:color w:val="000000"/>
        </w:rPr>
        <w:t xml:space="preserve">Through content analysis of </w:t>
      </w:r>
      <w:r w:rsidR="004F6D57">
        <w:rPr>
          <w:color w:val="000000"/>
        </w:rPr>
        <w:t xml:space="preserve">these </w:t>
      </w:r>
      <w:r w:rsidR="00EC3E3D">
        <w:rPr>
          <w:color w:val="000000"/>
        </w:rPr>
        <w:t>documents, the different instances and evocations of the SCL approach are investigated.</w:t>
      </w:r>
      <w:r w:rsidR="008F4456">
        <w:rPr>
          <w:rStyle w:val="FootnoteReference"/>
          <w:color w:val="000000"/>
        </w:rPr>
        <w:footnoteReference w:id="1"/>
      </w:r>
    </w:p>
    <w:p w14:paraId="6A4947AA" w14:textId="272E79FD" w:rsidR="00493926" w:rsidRDefault="00D3152C" w:rsidP="008B7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D71EC8">
        <w:rPr>
          <w:color w:val="000000"/>
        </w:rPr>
        <w:t>SCL</w:t>
      </w:r>
      <w:r w:rsidR="007E4A42" w:rsidRPr="00D71EC8">
        <w:rPr>
          <w:color w:val="000000"/>
        </w:rPr>
        <w:t xml:space="preserve"> has been first introduced into </w:t>
      </w:r>
      <w:r w:rsidR="00493926">
        <w:rPr>
          <w:color w:val="000000"/>
        </w:rPr>
        <w:t>policy</w:t>
      </w:r>
      <w:r w:rsidR="007E4A42" w:rsidRPr="00D71EC8">
        <w:rPr>
          <w:color w:val="000000"/>
        </w:rPr>
        <w:t xml:space="preserve"> documents of the Bologna Process</w:t>
      </w:r>
      <w:r w:rsidR="008F4456" w:rsidRPr="008F4456">
        <w:rPr>
          <w:color w:val="000000"/>
        </w:rPr>
        <w:t xml:space="preserve"> </w:t>
      </w:r>
      <w:r w:rsidR="008F4456" w:rsidRPr="00D71EC8">
        <w:rPr>
          <w:color w:val="000000"/>
        </w:rPr>
        <w:t>by this name</w:t>
      </w:r>
      <w:r w:rsidR="007E4A42" w:rsidRPr="00D71EC8">
        <w:rPr>
          <w:color w:val="000000"/>
        </w:rPr>
        <w:t xml:space="preserve"> in 2007 (London Communiqué, 2007). </w:t>
      </w:r>
      <w:r w:rsidR="008F4456">
        <w:rPr>
          <w:color w:val="000000"/>
        </w:rPr>
        <w:t>Among the earlier Communiqués, Berge</w:t>
      </w:r>
      <w:r w:rsidR="007E4A42" w:rsidRPr="00D71EC8">
        <w:rPr>
          <w:color w:val="000000"/>
        </w:rPr>
        <w:t>n Communiqué (2005) takes a note that structural changes have an effect on curricula and that “</w:t>
      </w:r>
      <w:r w:rsidR="007E4A42" w:rsidRPr="00D71EC8">
        <w:rPr>
          <w:i/>
          <w:iCs/>
          <w:color w:val="000000"/>
        </w:rPr>
        <w:t>the introduction of innovative teaching and learning processes</w:t>
      </w:r>
      <w:r w:rsidR="007E4A42" w:rsidRPr="00D71EC8">
        <w:rPr>
          <w:color w:val="000000"/>
        </w:rPr>
        <w:t xml:space="preserve">” should be ensured, but there is no mention of a shift in </w:t>
      </w:r>
      <w:r w:rsidR="00493926">
        <w:rPr>
          <w:color w:val="000000"/>
        </w:rPr>
        <w:t>learning systems design</w:t>
      </w:r>
      <w:r w:rsidR="007E4A42" w:rsidRPr="00D71EC8">
        <w:rPr>
          <w:color w:val="000000"/>
        </w:rPr>
        <w:t xml:space="preserve"> towards </w:t>
      </w:r>
      <w:r w:rsidRPr="00D71EC8">
        <w:rPr>
          <w:color w:val="000000"/>
        </w:rPr>
        <w:t>SCL</w:t>
      </w:r>
      <w:r w:rsidR="008A6AF0" w:rsidRPr="00D71EC8">
        <w:rPr>
          <w:color w:val="000000"/>
        </w:rPr>
        <w:t xml:space="preserve">. </w:t>
      </w:r>
      <w:r w:rsidR="007E4A42" w:rsidRPr="00D71EC8">
        <w:rPr>
          <w:color w:val="000000"/>
        </w:rPr>
        <w:t xml:space="preserve">London Communiqué (2007), </w:t>
      </w:r>
      <w:r w:rsidR="008A6AF0" w:rsidRPr="00D71EC8">
        <w:rPr>
          <w:color w:val="000000"/>
        </w:rPr>
        <w:t xml:space="preserve">in </w:t>
      </w:r>
      <w:r w:rsidR="008B7EC1" w:rsidRPr="00D71EC8">
        <w:rPr>
          <w:color w:val="000000"/>
        </w:rPr>
        <w:t>the</w:t>
      </w:r>
      <w:r w:rsidR="007E4A42" w:rsidRPr="00D71EC8">
        <w:rPr>
          <w:color w:val="000000"/>
        </w:rPr>
        <w:t xml:space="preserve"> part discussing the </w:t>
      </w:r>
      <w:r w:rsidR="007E4A42" w:rsidRPr="00D71EC8">
        <w:rPr>
          <w:color w:val="000000"/>
        </w:rPr>
        <w:lastRenderedPageBreak/>
        <w:t xml:space="preserve">progress towards the EHEA, </w:t>
      </w:r>
      <w:r w:rsidR="008B7EC1" w:rsidRPr="00D71EC8">
        <w:rPr>
          <w:color w:val="000000"/>
        </w:rPr>
        <w:t>states</w:t>
      </w:r>
      <w:r w:rsidR="007E4A42" w:rsidRPr="00D71EC8">
        <w:rPr>
          <w:color w:val="000000"/>
        </w:rPr>
        <w:t xml:space="preserve"> </w:t>
      </w:r>
      <w:r w:rsidR="008A6AF0" w:rsidRPr="00D71EC8">
        <w:rPr>
          <w:color w:val="000000"/>
        </w:rPr>
        <w:t xml:space="preserve">explicitly </w:t>
      </w:r>
      <w:r w:rsidR="007E4A42" w:rsidRPr="00D71EC8">
        <w:rPr>
          <w:color w:val="000000"/>
        </w:rPr>
        <w:t>that an outcome of the Bologna Process “</w:t>
      </w:r>
      <w:r w:rsidR="007E4A42" w:rsidRPr="00D71EC8">
        <w:rPr>
          <w:i/>
          <w:iCs/>
          <w:color w:val="000000"/>
        </w:rPr>
        <w:t>will be a move towards student-</w:t>
      </w:r>
      <w:r w:rsidRPr="00D71EC8">
        <w:rPr>
          <w:i/>
          <w:iCs/>
          <w:color w:val="000000"/>
        </w:rPr>
        <w:t>centered</w:t>
      </w:r>
      <w:r w:rsidR="007E4A42" w:rsidRPr="00D71EC8">
        <w:rPr>
          <w:i/>
          <w:iCs/>
          <w:color w:val="000000"/>
        </w:rPr>
        <w:t xml:space="preserve"> higher education and away towards teacher driven provision</w:t>
      </w:r>
      <w:r w:rsidR="007E4A42" w:rsidRPr="00D71EC8">
        <w:rPr>
          <w:color w:val="000000"/>
        </w:rPr>
        <w:t xml:space="preserve">” (London Communiqué, 2007, 2.1). </w:t>
      </w:r>
      <w:r w:rsidRPr="00D71EC8">
        <w:rPr>
          <w:color w:val="000000"/>
        </w:rPr>
        <w:t>SCL</w:t>
      </w:r>
      <w:r w:rsidR="007E4A42" w:rsidRPr="00D71EC8">
        <w:rPr>
          <w:color w:val="000000"/>
        </w:rPr>
        <w:t xml:space="preserve"> as a policy objective </w:t>
      </w:r>
      <w:r w:rsidR="008A6AF0" w:rsidRPr="00D71EC8">
        <w:rPr>
          <w:color w:val="000000"/>
        </w:rPr>
        <w:t>is reinforced</w:t>
      </w:r>
      <w:r w:rsidR="007E4A42" w:rsidRPr="00D71EC8">
        <w:rPr>
          <w:color w:val="000000"/>
        </w:rPr>
        <w:t xml:space="preserve"> in </w:t>
      </w:r>
      <w:r w:rsidR="00493926">
        <w:rPr>
          <w:color w:val="000000"/>
        </w:rPr>
        <w:t xml:space="preserve">the following </w:t>
      </w:r>
      <w:r w:rsidR="008A6AF0" w:rsidRPr="00D71EC8">
        <w:rPr>
          <w:color w:val="000000"/>
        </w:rPr>
        <w:t xml:space="preserve">Leuven Communiqué (2009), </w:t>
      </w:r>
      <w:r w:rsidR="007E4A42" w:rsidRPr="00D71EC8">
        <w:rPr>
          <w:color w:val="000000"/>
        </w:rPr>
        <w:t>which draws a normative link between SCL and students developing “</w:t>
      </w:r>
      <w:r w:rsidR="007E4A42" w:rsidRPr="00D71EC8">
        <w:rPr>
          <w:i/>
          <w:iCs/>
          <w:color w:val="000000"/>
        </w:rPr>
        <w:t xml:space="preserve">the competences they need in a changing </w:t>
      </w:r>
      <w:r w:rsidRPr="00D71EC8">
        <w:rPr>
          <w:i/>
          <w:iCs/>
          <w:color w:val="000000"/>
        </w:rPr>
        <w:t>labor</w:t>
      </w:r>
      <w:r w:rsidR="007E4A42" w:rsidRPr="00D71EC8">
        <w:rPr>
          <w:i/>
          <w:iCs/>
          <w:color w:val="000000"/>
        </w:rPr>
        <w:t xml:space="preserve"> market and will empower them to become active and responsible citizens</w:t>
      </w:r>
      <w:r w:rsidR="007E4A42" w:rsidRPr="00D71EC8">
        <w:rPr>
          <w:color w:val="000000"/>
        </w:rPr>
        <w:t xml:space="preserve">” (Leuven Communiqué, 2009, 2.1). </w:t>
      </w:r>
      <w:r w:rsidRPr="00D71EC8">
        <w:rPr>
          <w:color w:val="000000"/>
        </w:rPr>
        <w:t>SCL</w:t>
      </w:r>
      <w:r w:rsidR="007E4A42" w:rsidRPr="00D71EC8">
        <w:rPr>
          <w:color w:val="000000"/>
        </w:rPr>
        <w:t xml:space="preserve"> becomes an explicit policy priority with an expanded </w:t>
      </w:r>
      <w:r w:rsidR="00493926">
        <w:rPr>
          <w:color w:val="000000"/>
        </w:rPr>
        <w:t xml:space="preserve">suggestion </w:t>
      </w:r>
      <w:r w:rsidR="007E4A42" w:rsidRPr="00D71EC8">
        <w:rPr>
          <w:color w:val="000000"/>
        </w:rPr>
        <w:t>as to its meaning: “</w:t>
      </w:r>
      <w:r w:rsidR="007E4A42" w:rsidRPr="00D71EC8">
        <w:rPr>
          <w:i/>
          <w:iCs/>
          <w:color w:val="000000"/>
        </w:rPr>
        <w:t>SCL requires empowering individual learners, new approaches to teaching and learning, effective support and guidance structures and a curriculum focused more clearly on the learner in all three cycles</w:t>
      </w:r>
      <w:r w:rsidR="007E4A42" w:rsidRPr="00D71EC8">
        <w:rPr>
          <w:color w:val="000000"/>
        </w:rPr>
        <w:t xml:space="preserve">” </w:t>
      </w:r>
      <w:r w:rsidR="008A6AF0" w:rsidRPr="00D71EC8">
        <w:rPr>
          <w:color w:val="000000"/>
        </w:rPr>
        <w:t xml:space="preserve">(Leuven, 2009, 14). </w:t>
      </w:r>
    </w:p>
    <w:p w14:paraId="09738771" w14:textId="03E4354A" w:rsidR="00493926" w:rsidRDefault="00493926" w:rsidP="008B7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 xml:space="preserve">Following Leuven, </w:t>
      </w:r>
      <w:r w:rsidR="008B7EC1" w:rsidRPr="00D71EC8">
        <w:rPr>
          <w:color w:val="000000"/>
        </w:rPr>
        <w:t xml:space="preserve">SCL also emerges in the template for national </w:t>
      </w:r>
      <w:r>
        <w:rPr>
          <w:color w:val="000000"/>
        </w:rPr>
        <w:t>implementation</w:t>
      </w:r>
      <w:r w:rsidR="008B7EC1" w:rsidRPr="00D71EC8">
        <w:rPr>
          <w:color w:val="000000"/>
        </w:rPr>
        <w:t xml:space="preserve"> reports </w:t>
      </w:r>
      <w:r>
        <w:rPr>
          <w:color w:val="000000"/>
        </w:rPr>
        <w:t>that need to be submitted to EHEA secretariat prior to each summit</w:t>
      </w:r>
      <w:r w:rsidR="008B7EC1" w:rsidRPr="00D71EC8">
        <w:rPr>
          <w:color w:val="000000"/>
        </w:rPr>
        <w:t xml:space="preserve">. </w:t>
      </w:r>
      <w:r w:rsidR="008F4456">
        <w:rPr>
          <w:color w:val="000000"/>
        </w:rPr>
        <w:t xml:space="preserve">The new section on SCL </w:t>
      </w:r>
      <w:r>
        <w:rPr>
          <w:color w:val="000000"/>
        </w:rPr>
        <w:t>includes</w:t>
      </w:r>
      <w:r w:rsidR="008A6AF0" w:rsidRPr="00D71EC8">
        <w:rPr>
          <w:color w:val="000000"/>
        </w:rPr>
        <w:t xml:space="preserve"> </w:t>
      </w:r>
      <w:r w:rsidR="008B7EC1" w:rsidRPr="00D71EC8">
        <w:rPr>
          <w:color w:val="000000"/>
        </w:rPr>
        <w:t xml:space="preserve">questions whether member state’s steering documents mention SCL, or other concepts linked to SCL, and how SCL is defined in </w:t>
      </w:r>
      <w:r w:rsidR="008A6AF0" w:rsidRPr="00D71EC8">
        <w:rPr>
          <w:color w:val="000000"/>
        </w:rPr>
        <w:t xml:space="preserve">national </w:t>
      </w:r>
      <w:r w:rsidR="008B7EC1" w:rsidRPr="00D71EC8">
        <w:rPr>
          <w:color w:val="000000"/>
        </w:rPr>
        <w:t xml:space="preserve">steering documents. </w:t>
      </w:r>
      <w:r w:rsidR="009427C0" w:rsidRPr="00D71EC8">
        <w:rPr>
          <w:color w:val="000000"/>
        </w:rPr>
        <w:t xml:space="preserve">The template </w:t>
      </w:r>
      <w:r>
        <w:rPr>
          <w:color w:val="000000"/>
        </w:rPr>
        <w:t>also</w:t>
      </w:r>
      <w:r w:rsidR="009427C0">
        <w:rPr>
          <w:color w:val="000000"/>
        </w:rPr>
        <w:t xml:space="preserve"> refers to </w:t>
      </w:r>
      <w:r w:rsidR="009427C0" w:rsidRPr="00D71EC8">
        <w:rPr>
          <w:color w:val="000000"/>
        </w:rPr>
        <w:t>“SCL c</w:t>
      </w:r>
      <w:r w:rsidR="009427C0">
        <w:rPr>
          <w:color w:val="000000"/>
        </w:rPr>
        <w:t>ategories”</w:t>
      </w:r>
      <w:r>
        <w:rPr>
          <w:color w:val="000000"/>
        </w:rPr>
        <w:t xml:space="preserve"> and asks respondents </w:t>
      </w:r>
      <w:r w:rsidR="008F4456">
        <w:rPr>
          <w:color w:val="000000"/>
        </w:rPr>
        <w:t xml:space="preserve">to </w:t>
      </w:r>
      <w:r>
        <w:rPr>
          <w:color w:val="000000"/>
        </w:rPr>
        <w:t>assess</w:t>
      </w:r>
      <w:r w:rsidR="009427C0" w:rsidRPr="00D71EC8">
        <w:rPr>
          <w:color w:val="000000"/>
        </w:rPr>
        <w:t xml:space="preserve"> their importance in the national steering documents</w:t>
      </w:r>
      <w:r w:rsidR="009427C0">
        <w:rPr>
          <w:color w:val="000000"/>
        </w:rPr>
        <w:t xml:space="preserve">. </w:t>
      </w:r>
      <w:r w:rsidR="009427C0" w:rsidRPr="00D71EC8">
        <w:rPr>
          <w:color w:val="000000"/>
        </w:rPr>
        <w:t>Concretely, six “</w:t>
      </w:r>
      <w:r>
        <w:rPr>
          <w:color w:val="000000"/>
        </w:rPr>
        <w:t xml:space="preserve">SCL </w:t>
      </w:r>
      <w:r w:rsidR="009427C0" w:rsidRPr="00D71EC8">
        <w:rPr>
          <w:color w:val="000000"/>
        </w:rPr>
        <w:t xml:space="preserve">categories” </w:t>
      </w:r>
      <w:r>
        <w:rPr>
          <w:color w:val="000000"/>
        </w:rPr>
        <w:t>a</w:t>
      </w:r>
      <w:r w:rsidR="009427C0" w:rsidRPr="00D71EC8">
        <w:rPr>
          <w:color w:val="000000"/>
        </w:rPr>
        <w:t>re mentioned: independent learning; learning in small groups; training in teaching for staff; assessment based on learning outcomes; recognition of prior learning; learning outcomes; student/staff ratio and student evaluation of teaching; indeed, a rather eclectic selection of evocations of SCL.</w:t>
      </w:r>
      <w:r w:rsidR="009427C0">
        <w:rPr>
          <w:color w:val="000000"/>
        </w:rPr>
        <w:t xml:space="preserve"> </w:t>
      </w:r>
    </w:p>
    <w:p w14:paraId="7BD26B24" w14:textId="0E1CF90D" w:rsidR="00570D85" w:rsidRDefault="007A4CDA" w:rsidP="00570D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D71EC8">
        <w:rPr>
          <w:color w:val="000000"/>
        </w:rPr>
        <w:t>While most member states report</w:t>
      </w:r>
      <w:r w:rsidR="00527015">
        <w:rPr>
          <w:color w:val="000000"/>
        </w:rPr>
        <w:t>ed</w:t>
      </w:r>
      <w:r w:rsidRPr="00D71EC8">
        <w:rPr>
          <w:color w:val="000000"/>
        </w:rPr>
        <w:t xml:space="preserve"> to have some elements of what is now referred to as SCL in their national steering documents (European Commission/EACEA/Eurydice, 2015), the more far-reaching and universal </w:t>
      </w:r>
      <w:r w:rsidR="00527015">
        <w:rPr>
          <w:color w:val="000000"/>
        </w:rPr>
        <w:t>implementation of this policy objective commenced</w:t>
      </w:r>
      <w:r w:rsidRPr="00D71EC8">
        <w:rPr>
          <w:color w:val="000000"/>
        </w:rPr>
        <w:t xml:space="preserve"> only after 2015. </w:t>
      </w:r>
      <w:r w:rsidR="00243FD3" w:rsidRPr="00D71EC8">
        <w:rPr>
          <w:color w:val="000000"/>
        </w:rPr>
        <w:t>The newly adopted</w:t>
      </w:r>
      <w:r w:rsidRPr="00D71EC8">
        <w:rPr>
          <w:color w:val="000000"/>
        </w:rPr>
        <w:t xml:space="preserve"> ESG, the key regulatory mechanism in the EHEA, introduced an entirely new standard on student-centered learning, teaching and assessment (ESG, 2015, 1.3)</w:t>
      </w:r>
      <w:r w:rsidR="00243FD3" w:rsidRPr="00D71EC8">
        <w:rPr>
          <w:color w:val="000000"/>
        </w:rPr>
        <w:t xml:space="preserve">: </w:t>
      </w:r>
      <w:r w:rsidR="00243FD3" w:rsidRPr="00D71EC8">
        <w:rPr>
          <w:i/>
          <w:color w:val="000000"/>
        </w:rPr>
        <w:t xml:space="preserve">“Institutions </w:t>
      </w:r>
      <w:r w:rsidR="009427C0">
        <w:rPr>
          <w:i/>
          <w:color w:val="000000"/>
        </w:rPr>
        <w:t>should ensure that the program</w:t>
      </w:r>
      <w:r w:rsidR="00243FD3" w:rsidRPr="00D71EC8">
        <w:rPr>
          <w:i/>
          <w:color w:val="000000"/>
        </w:rPr>
        <w:t>s are delivered in a way that encourages students to take an active role in creating the learning process, and that the assessment of students reflects this approach.”</w:t>
      </w:r>
      <w:r w:rsidR="00243FD3" w:rsidRPr="00D71EC8">
        <w:rPr>
          <w:color w:val="000000"/>
        </w:rPr>
        <w:t xml:space="preserve"> The guidelines accompanying the standard </w:t>
      </w:r>
      <w:r w:rsidR="00527015">
        <w:rPr>
          <w:color w:val="000000"/>
        </w:rPr>
        <w:t>state</w:t>
      </w:r>
      <w:r w:rsidR="00243FD3" w:rsidRPr="00D71EC8">
        <w:rPr>
          <w:color w:val="000000"/>
        </w:rPr>
        <w:t xml:space="preserve"> that student-centered learning and teaching “</w:t>
      </w:r>
      <w:r w:rsidR="00243FD3" w:rsidRPr="00D71EC8">
        <w:rPr>
          <w:i/>
          <w:iCs/>
          <w:color w:val="000000"/>
        </w:rPr>
        <w:t>plays an important role in stimulating students’ motivation, self-reflection and engagement in the learning process</w:t>
      </w:r>
      <w:r w:rsidR="00243FD3" w:rsidRPr="00D71EC8">
        <w:rPr>
          <w:color w:val="000000"/>
        </w:rPr>
        <w:t>” (ESG</w:t>
      </w:r>
      <w:r w:rsidR="00DE3AEF">
        <w:rPr>
          <w:color w:val="000000"/>
        </w:rPr>
        <w:t>,</w:t>
      </w:r>
      <w:r w:rsidR="00243FD3" w:rsidRPr="00D71EC8">
        <w:rPr>
          <w:color w:val="000000"/>
        </w:rPr>
        <w:t xml:space="preserve"> 2015, 1.3). </w:t>
      </w:r>
    </w:p>
    <w:p w14:paraId="1FAB6AEF" w14:textId="5C26B079" w:rsidR="00E15DB8" w:rsidRPr="00570D85" w:rsidRDefault="00E15DB8" w:rsidP="00570D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023232">
        <w:t>There are several other standards</w:t>
      </w:r>
      <w:r w:rsidR="00570D85">
        <w:t xml:space="preserve"> in the ESG which refer to </w:t>
      </w:r>
      <w:r w:rsidR="008F4456">
        <w:t>SCL</w:t>
      </w:r>
      <w:r w:rsidR="00570D85">
        <w:t>.</w:t>
      </w:r>
      <w:r w:rsidRPr="00023232">
        <w:t xml:space="preserve"> For example, standard 1.1 explicitly mentions that students as internal stakeholders are jointly responsible for internal QA, that students and other stakeholders </w:t>
      </w:r>
      <w:r w:rsidR="00570D85">
        <w:t xml:space="preserve">should be </w:t>
      </w:r>
      <w:r w:rsidRPr="00023232">
        <w:t>involved in designing and continuous improvement of QA methodologies (</w:t>
      </w:r>
      <w:r w:rsidR="00DE3AEF">
        <w:t xml:space="preserve">ESG, 2015, </w:t>
      </w:r>
      <w:r w:rsidR="008F4456">
        <w:t xml:space="preserve">Part 2), </w:t>
      </w:r>
      <w:r w:rsidRPr="00023232">
        <w:t>and that quality assurance agencies and accreditation bodies need to ensure involvement of stakeholders in their governance and work (</w:t>
      </w:r>
      <w:r w:rsidR="00DE3AEF">
        <w:t xml:space="preserve">ESG, 2015, </w:t>
      </w:r>
      <w:r w:rsidRPr="00023232">
        <w:t>Part 3). Furthermore, standard 1.2 stipulates that students and other stakeholders should be involved in the design of the study programs (</w:t>
      </w:r>
      <w:r w:rsidR="00DE3AEF">
        <w:t>ESG, 2015,</w:t>
      </w:r>
      <w:r w:rsidRPr="00023232">
        <w:t xml:space="preserve"> 1.9). Standard 1.5 on teaching staff has been revised i</w:t>
      </w:r>
      <w:r w:rsidR="00570D85">
        <w:t xml:space="preserve">n 2015 to </w:t>
      </w:r>
      <w:r w:rsidRPr="00023232">
        <w:t>emphasize</w:t>
      </w:r>
      <w:r w:rsidR="00570D85">
        <w:t xml:space="preserve"> </w:t>
      </w:r>
      <w:r w:rsidRPr="00023232">
        <w:t>the need for student-</w:t>
      </w:r>
      <w:r w:rsidR="00570D85" w:rsidRPr="00023232">
        <w:t>centered</w:t>
      </w:r>
      <w:r w:rsidRPr="00023232">
        <w:t xml:space="preserve"> teaching and the changing role of teachers in SCL</w:t>
      </w:r>
      <w:r w:rsidR="00AB66F3">
        <w:t xml:space="preserve"> (ESG, 2015)</w:t>
      </w:r>
      <w:r w:rsidRPr="00023232">
        <w:t xml:space="preserve">. Standard 1.6 on learning resources and student support mentions that SCL and flexible modes of learning and teaching need to be taken into account when allocating, planning </w:t>
      </w:r>
      <w:r w:rsidRPr="00023232">
        <w:lastRenderedPageBreak/>
        <w:t>and providing the learning resources and student support</w:t>
      </w:r>
      <w:r w:rsidR="00AB66F3">
        <w:t xml:space="preserve"> (ESG, 2015)</w:t>
      </w:r>
      <w:r w:rsidRPr="00023232">
        <w:t>.</w:t>
      </w:r>
    </w:p>
    <w:p w14:paraId="0CF13571" w14:textId="3BA72151" w:rsidR="008F4456" w:rsidRDefault="00651D1B"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 xml:space="preserve">Taking into consideration these varied evocations of SCL in ESG, a </w:t>
      </w:r>
      <w:r w:rsidR="00493926">
        <w:rPr>
          <w:color w:val="000000"/>
        </w:rPr>
        <w:t>proposition</w:t>
      </w:r>
      <w:r w:rsidR="00493926" w:rsidRPr="00D71EC8">
        <w:rPr>
          <w:color w:val="000000"/>
        </w:rPr>
        <w:t xml:space="preserve"> </w:t>
      </w:r>
      <w:r w:rsidR="00493926">
        <w:rPr>
          <w:color w:val="000000"/>
        </w:rPr>
        <w:t>is put forward that</w:t>
      </w:r>
      <w:r w:rsidR="00493926" w:rsidRPr="00D71EC8">
        <w:rPr>
          <w:color w:val="000000"/>
        </w:rPr>
        <w:t xml:space="preserve"> SCL should </w:t>
      </w:r>
      <w:r>
        <w:rPr>
          <w:color w:val="000000"/>
        </w:rPr>
        <w:t xml:space="preserve">really </w:t>
      </w:r>
      <w:r w:rsidR="00493926" w:rsidRPr="00D71EC8">
        <w:rPr>
          <w:color w:val="000000"/>
        </w:rPr>
        <w:t>be understood as a “meta-concept”</w:t>
      </w:r>
      <w:r>
        <w:rPr>
          <w:color w:val="000000"/>
        </w:rPr>
        <w:t>, a concept at a higher level of abstraction. Such understanding allows</w:t>
      </w:r>
      <w:r w:rsidR="00493926" w:rsidRPr="00D71EC8">
        <w:rPr>
          <w:color w:val="000000"/>
        </w:rPr>
        <w:t xml:space="preserve"> </w:t>
      </w:r>
      <w:r w:rsidR="00493926">
        <w:rPr>
          <w:color w:val="000000"/>
        </w:rPr>
        <w:t>for</w:t>
      </w:r>
      <w:r w:rsidR="00493926" w:rsidRPr="00D71EC8">
        <w:rPr>
          <w:color w:val="000000"/>
        </w:rPr>
        <w:t xml:space="preserve"> conceptually clear</w:t>
      </w:r>
      <w:r w:rsidR="00493926">
        <w:rPr>
          <w:color w:val="000000"/>
        </w:rPr>
        <w:t>ing</w:t>
      </w:r>
      <w:r w:rsidR="00493926" w:rsidRPr="00D71EC8">
        <w:rPr>
          <w:color w:val="000000"/>
        </w:rPr>
        <w:t xml:space="preserve"> ground from the eclectic use of </w:t>
      </w:r>
      <w:r w:rsidR="00493926" w:rsidRPr="008B3551">
        <w:rPr>
          <w:color w:val="000000"/>
        </w:rPr>
        <w:t>SCL in association to a broad variety of policy issues</w:t>
      </w:r>
      <w:r w:rsidRPr="008B3551">
        <w:rPr>
          <w:color w:val="000000"/>
        </w:rPr>
        <w:t xml:space="preserve"> and domains of application</w:t>
      </w:r>
      <w:r w:rsidR="00493926" w:rsidRPr="008B3551">
        <w:rPr>
          <w:color w:val="000000"/>
        </w:rPr>
        <w:t xml:space="preserve">, such as pedagogy, </w:t>
      </w:r>
      <w:r w:rsidRPr="008B3551">
        <w:rPr>
          <w:color w:val="000000"/>
        </w:rPr>
        <w:t xml:space="preserve">assessment, curriculum development, </w:t>
      </w:r>
      <w:r w:rsidR="00493926" w:rsidRPr="008B3551">
        <w:rPr>
          <w:color w:val="000000"/>
        </w:rPr>
        <w:t xml:space="preserve">qualification frameworks, </w:t>
      </w:r>
      <w:r w:rsidR="008B3551" w:rsidRPr="008B3551">
        <w:rPr>
          <w:color w:val="000000"/>
        </w:rPr>
        <w:t xml:space="preserve">flexible learning paths, </w:t>
      </w:r>
      <w:r w:rsidR="00493926" w:rsidRPr="008B3551">
        <w:rPr>
          <w:color w:val="000000"/>
        </w:rPr>
        <w:t xml:space="preserve">student </w:t>
      </w:r>
      <w:r w:rsidRPr="008B3551">
        <w:rPr>
          <w:color w:val="000000"/>
        </w:rPr>
        <w:t xml:space="preserve">and teacher resources and </w:t>
      </w:r>
      <w:r w:rsidR="00493926" w:rsidRPr="008B3551">
        <w:rPr>
          <w:color w:val="000000"/>
        </w:rPr>
        <w:t>services</w:t>
      </w:r>
      <w:r w:rsidR="008B3551" w:rsidRPr="008B3551">
        <w:rPr>
          <w:color w:val="000000"/>
        </w:rPr>
        <w:t>, and student involvement in governance and quality assurance.</w:t>
      </w:r>
      <w:r w:rsidR="00493926" w:rsidRPr="00D71EC8">
        <w:rPr>
          <w:color w:val="000000"/>
        </w:rPr>
        <w:t xml:space="preserve"> SCL can be parted into different meanings, which can be linked to specific “fields” of application and associated to specific “agents” whose agency is invoked in a given field. </w:t>
      </w:r>
    </w:p>
    <w:p w14:paraId="1A3C3299" w14:textId="77777777" w:rsidR="00E31ABB" w:rsidRDefault="007E4A42" w:rsidP="00E31ABB">
      <w:pPr>
        <w:spacing w:after="120" w:line="288" w:lineRule="auto"/>
        <w:jc w:val="both"/>
        <w:rPr>
          <w:color w:val="000000"/>
        </w:rPr>
      </w:pPr>
      <w:r w:rsidRPr="00D71EC8">
        <w:rPr>
          <w:color w:val="000000"/>
        </w:rPr>
        <w:t>The</w:t>
      </w:r>
      <w:r w:rsidR="00E6053F" w:rsidRPr="00D71EC8">
        <w:rPr>
          <w:color w:val="000000"/>
        </w:rPr>
        <w:t xml:space="preserve"> key references to SCL in EHEA policy documents</w:t>
      </w:r>
      <w:r w:rsidRPr="00D71EC8">
        <w:rPr>
          <w:color w:val="000000"/>
        </w:rPr>
        <w:t xml:space="preserve"> depict three </w:t>
      </w:r>
      <w:r w:rsidR="00E6053F" w:rsidRPr="00D71EC8">
        <w:rPr>
          <w:color w:val="000000"/>
        </w:rPr>
        <w:t xml:space="preserve">distinct </w:t>
      </w:r>
      <w:r w:rsidRPr="00D71EC8">
        <w:rPr>
          <w:color w:val="000000"/>
        </w:rPr>
        <w:t>yet o</w:t>
      </w:r>
      <w:r w:rsidR="00651D1B">
        <w:rPr>
          <w:color w:val="000000"/>
        </w:rPr>
        <w:t>verlapping conceptions of SCL</w:t>
      </w:r>
      <w:r w:rsidRPr="00D71EC8">
        <w:rPr>
          <w:color w:val="000000"/>
        </w:rPr>
        <w:t xml:space="preserve">: </w:t>
      </w:r>
      <w:r w:rsidRPr="00D71EC8">
        <w:rPr>
          <w:i/>
          <w:iCs/>
          <w:color w:val="000000"/>
        </w:rPr>
        <w:t>a pedagogic concept to foster individual learning</w:t>
      </w:r>
      <w:r w:rsidRPr="00D71EC8">
        <w:rPr>
          <w:color w:val="000000"/>
        </w:rPr>
        <w:t xml:space="preserve">, </w:t>
      </w:r>
      <w:r w:rsidR="00911B99" w:rsidRPr="00154BAB">
        <w:rPr>
          <w:i/>
          <w:iCs/>
          <w:color w:val="000000"/>
        </w:rPr>
        <w:t>SCL</w:t>
      </w:r>
      <w:r w:rsidR="00911B99">
        <w:rPr>
          <w:i/>
          <w:iCs/>
          <w:color w:val="000000"/>
        </w:rPr>
        <w:t xml:space="preserve"> a cultural frame</w:t>
      </w:r>
      <w:r w:rsidR="00911B99" w:rsidRPr="00154BAB">
        <w:rPr>
          <w:i/>
          <w:iCs/>
          <w:color w:val="000000"/>
        </w:rPr>
        <w:t xml:space="preserve"> for developing communities of learning</w:t>
      </w:r>
      <w:r w:rsidRPr="00D71EC8">
        <w:rPr>
          <w:color w:val="000000"/>
        </w:rPr>
        <w:t xml:space="preserve">, and </w:t>
      </w:r>
      <w:r w:rsidR="00651D1B">
        <w:rPr>
          <w:i/>
          <w:iCs/>
          <w:color w:val="000000"/>
        </w:rPr>
        <w:t xml:space="preserve">a lever supporting </w:t>
      </w:r>
      <w:r w:rsidR="00647A64">
        <w:rPr>
          <w:i/>
          <w:iCs/>
          <w:color w:val="000000"/>
        </w:rPr>
        <w:t>learning</w:t>
      </w:r>
      <w:r w:rsidR="0083435C">
        <w:rPr>
          <w:i/>
          <w:iCs/>
          <w:color w:val="000000"/>
        </w:rPr>
        <w:t xml:space="preserve"> systems</w:t>
      </w:r>
      <w:r w:rsidR="00651D1B">
        <w:rPr>
          <w:i/>
          <w:iCs/>
          <w:color w:val="000000"/>
        </w:rPr>
        <w:t xml:space="preserve">. </w:t>
      </w:r>
      <w:r w:rsidRPr="00D71EC8">
        <w:rPr>
          <w:color w:val="000000"/>
        </w:rPr>
        <w:t xml:space="preserve">Analytically distinguishing between these different </w:t>
      </w:r>
      <w:r w:rsidR="00E6053F" w:rsidRPr="00D71EC8">
        <w:rPr>
          <w:color w:val="000000"/>
        </w:rPr>
        <w:t>conceptions</w:t>
      </w:r>
      <w:r w:rsidRPr="00D71EC8">
        <w:rPr>
          <w:color w:val="000000"/>
        </w:rPr>
        <w:t xml:space="preserve"> of </w:t>
      </w:r>
      <w:r w:rsidR="005640C9" w:rsidRPr="00D71EC8">
        <w:rPr>
          <w:color w:val="000000"/>
        </w:rPr>
        <w:t>SCL</w:t>
      </w:r>
      <w:r w:rsidRPr="00D71EC8">
        <w:rPr>
          <w:color w:val="000000"/>
        </w:rPr>
        <w:t xml:space="preserve"> can help us to engage with this meta-concept more critically both </w:t>
      </w:r>
      <w:r w:rsidR="008F4456">
        <w:rPr>
          <w:color w:val="000000"/>
        </w:rPr>
        <w:t>conceptually</w:t>
      </w:r>
      <w:r w:rsidRPr="00D71EC8">
        <w:rPr>
          <w:color w:val="000000"/>
        </w:rPr>
        <w:t xml:space="preserve"> and </w:t>
      </w:r>
      <w:r w:rsidR="008F4456">
        <w:rPr>
          <w:color w:val="000000"/>
        </w:rPr>
        <w:t xml:space="preserve">in </w:t>
      </w:r>
      <w:r w:rsidRPr="00D71EC8">
        <w:rPr>
          <w:color w:val="000000"/>
        </w:rPr>
        <w:t xml:space="preserve">policy. </w:t>
      </w:r>
      <w:r w:rsidR="00E31ABB">
        <w:rPr>
          <w:color w:val="000000"/>
        </w:rPr>
        <w:t xml:space="preserve">Following from these three fields of application of SCL, an alternative definition of SCL emerges. SCL approach promotes active learning activities and ensures ample learning resources and student support, nurtures culture of mutual respect and collaboration in pursuit of knowledge among members of the academic community and fosters students’ capabilities to shape their learning environments and define their learning pathways designs learning. </w:t>
      </w:r>
    </w:p>
    <w:p w14:paraId="606F338A" w14:textId="77777777" w:rsidR="00E6053F" w:rsidRPr="00D71EC8" w:rsidRDefault="00E6053F"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p>
    <w:p w14:paraId="1A854092" w14:textId="0DF1AF76" w:rsidR="007E4A42" w:rsidRPr="00D71EC8" w:rsidRDefault="006B6C5A" w:rsidP="00AB66F3">
      <w:pPr>
        <w:pStyle w:val="Heading2"/>
      </w:pPr>
      <w:r w:rsidRPr="00D71EC8">
        <w:t>SCL</w:t>
      </w:r>
      <w:r w:rsidR="007E4A42" w:rsidRPr="00D71EC8">
        <w:t xml:space="preserve"> as </w:t>
      </w:r>
      <w:r w:rsidR="00DB0596" w:rsidRPr="00D71EC8">
        <w:t>a pedagogic concept</w:t>
      </w:r>
      <w:r w:rsidR="007E4A42" w:rsidRPr="00D71EC8">
        <w:t xml:space="preserve"> to foster individual learning</w:t>
      </w:r>
    </w:p>
    <w:p w14:paraId="27EA188E" w14:textId="4636D877" w:rsidR="00685074" w:rsidRDefault="007E4A42" w:rsidP="00A4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rFonts w:eastAsia="Times New Roman"/>
        </w:rPr>
      </w:pPr>
      <w:r w:rsidRPr="00D71EC8">
        <w:rPr>
          <w:color w:val="000000"/>
        </w:rPr>
        <w:t>The overwhelming emphasis in polic</w:t>
      </w:r>
      <w:r w:rsidR="00E6053F" w:rsidRPr="00D71EC8">
        <w:rPr>
          <w:color w:val="000000"/>
        </w:rPr>
        <w:t>ies and regulatory instruments</w:t>
      </w:r>
      <w:r w:rsidRPr="00D71EC8">
        <w:rPr>
          <w:color w:val="000000"/>
        </w:rPr>
        <w:t xml:space="preserve"> on </w:t>
      </w:r>
      <w:r w:rsidR="006B6C5A" w:rsidRPr="00D71EC8">
        <w:rPr>
          <w:color w:val="000000"/>
        </w:rPr>
        <w:t>SCL</w:t>
      </w:r>
      <w:r w:rsidR="00DC59E9" w:rsidRPr="00D71EC8">
        <w:rPr>
          <w:color w:val="000000"/>
        </w:rPr>
        <w:t xml:space="preserve"> is pedagogic</w:t>
      </w:r>
      <w:r w:rsidRPr="00D71EC8">
        <w:rPr>
          <w:color w:val="000000"/>
        </w:rPr>
        <w:t xml:space="preserve">. </w:t>
      </w:r>
      <w:r w:rsidR="008B3551">
        <w:rPr>
          <w:color w:val="000000"/>
        </w:rPr>
        <w:t>The ministerial c</w:t>
      </w:r>
      <w:r w:rsidR="006B6C5A" w:rsidRPr="00D71EC8">
        <w:rPr>
          <w:color w:val="000000"/>
        </w:rPr>
        <w:t>ommuniqué</w:t>
      </w:r>
      <w:r w:rsidR="008B3551">
        <w:rPr>
          <w:color w:val="000000"/>
        </w:rPr>
        <w:t>s refer</w:t>
      </w:r>
      <w:r w:rsidR="006B6C5A" w:rsidRPr="00D71EC8">
        <w:rPr>
          <w:color w:val="000000"/>
        </w:rPr>
        <w:t xml:space="preserve"> to SCL as fundamentally a</w:t>
      </w:r>
      <w:r w:rsidR="006B6C5A" w:rsidRPr="00D71EC8">
        <w:rPr>
          <w:i/>
          <w:iCs/>
          <w:color w:val="000000"/>
        </w:rPr>
        <w:t xml:space="preserve"> </w:t>
      </w:r>
      <w:r w:rsidR="006B6C5A" w:rsidRPr="00D71EC8">
        <w:rPr>
          <w:color w:val="000000"/>
        </w:rPr>
        <w:t xml:space="preserve">pedagogical concept </w:t>
      </w:r>
      <w:r w:rsidR="008B3551">
        <w:rPr>
          <w:color w:val="000000"/>
        </w:rPr>
        <w:t>‘</w:t>
      </w:r>
      <w:r w:rsidR="006B6C5A" w:rsidRPr="00D71EC8">
        <w:rPr>
          <w:i/>
          <w:iCs/>
          <w:color w:val="000000"/>
        </w:rPr>
        <w:t>characterized by innovative methods of teaching that involve students as active participants in their own learning</w:t>
      </w:r>
      <w:r w:rsidR="008B3551">
        <w:rPr>
          <w:color w:val="000000"/>
        </w:rPr>
        <w:t>’</w:t>
      </w:r>
      <w:r w:rsidR="006B6C5A" w:rsidRPr="00D71EC8">
        <w:rPr>
          <w:color w:val="000000"/>
        </w:rPr>
        <w:t xml:space="preserve">, which is essential </w:t>
      </w:r>
      <w:r w:rsidR="00E6053F" w:rsidRPr="00D71EC8">
        <w:rPr>
          <w:color w:val="000000"/>
        </w:rPr>
        <w:t>for</w:t>
      </w:r>
      <w:r w:rsidR="006B6C5A" w:rsidRPr="00D71EC8">
        <w:rPr>
          <w:color w:val="000000"/>
        </w:rPr>
        <w:t xml:space="preserve"> student</w:t>
      </w:r>
      <w:r w:rsidR="00E6053F" w:rsidRPr="00D71EC8">
        <w:rPr>
          <w:color w:val="000000"/>
        </w:rPr>
        <w:t>s’</w:t>
      </w:r>
      <w:r w:rsidR="006B6C5A" w:rsidRPr="00D71EC8">
        <w:rPr>
          <w:color w:val="000000"/>
        </w:rPr>
        <w:t xml:space="preserve"> self-formation towards </w:t>
      </w:r>
      <w:r w:rsidR="008B3551">
        <w:rPr>
          <w:color w:val="000000"/>
        </w:rPr>
        <w:t>‘</w:t>
      </w:r>
      <w:r w:rsidR="006B6C5A" w:rsidRPr="00D71EC8">
        <w:rPr>
          <w:i/>
          <w:iCs/>
          <w:color w:val="000000"/>
        </w:rPr>
        <w:t>intellectual independence and personal self-assuredness alongside disciplinary knowledge and skills</w:t>
      </w:r>
      <w:r w:rsidR="008B3551">
        <w:rPr>
          <w:color w:val="000000"/>
        </w:rPr>
        <w:t>’</w:t>
      </w:r>
      <w:r w:rsidR="006B6C5A" w:rsidRPr="00D71EC8">
        <w:rPr>
          <w:color w:val="000000"/>
        </w:rPr>
        <w:t xml:space="preserve"> (Bucharest Communiqué, 2012). </w:t>
      </w:r>
      <w:r w:rsidR="00033EBC">
        <w:rPr>
          <w:iCs/>
          <w:color w:val="000000"/>
        </w:rPr>
        <w:t>ESU and EI</w:t>
      </w:r>
      <w:r w:rsidR="005640C9" w:rsidRPr="00D71EC8">
        <w:rPr>
          <w:iCs/>
          <w:color w:val="000000"/>
        </w:rPr>
        <w:t xml:space="preserve"> conceive SCL as</w:t>
      </w:r>
      <w:r w:rsidR="008B3551">
        <w:rPr>
          <w:i/>
          <w:iCs/>
          <w:color w:val="000000"/>
        </w:rPr>
        <w:t xml:space="preserve"> ‘</w:t>
      </w:r>
      <w:r w:rsidR="005640C9" w:rsidRPr="00D71EC8">
        <w:rPr>
          <w:i/>
          <w:iCs/>
          <w:color w:val="000000"/>
        </w:rPr>
        <w:t>characterized by innovative methods of teaching which aim to promote learning in communication with teachers and other learners and which take students seriously as active participants in their own learning, fostering transferable skills such as problem-solving, critical thinking and reflective thinking</w:t>
      </w:r>
      <w:r w:rsidR="008B3551">
        <w:rPr>
          <w:color w:val="000000"/>
        </w:rPr>
        <w:t>’</w:t>
      </w:r>
      <w:r w:rsidR="005640C9" w:rsidRPr="00D71EC8">
        <w:rPr>
          <w:color w:val="000000"/>
        </w:rPr>
        <w:t xml:space="preserve"> (EI </w:t>
      </w:r>
      <w:r w:rsidR="00DE3AEF">
        <w:rPr>
          <w:color w:val="000000"/>
        </w:rPr>
        <w:t>&amp;</w:t>
      </w:r>
      <w:r w:rsidR="00033EBC">
        <w:rPr>
          <w:color w:val="000000"/>
        </w:rPr>
        <w:t xml:space="preserve"> ESU, 2010b</w:t>
      </w:r>
      <w:r w:rsidR="005640C9" w:rsidRPr="00D71EC8">
        <w:rPr>
          <w:color w:val="000000"/>
        </w:rPr>
        <w:t xml:space="preserve">). </w:t>
      </w:r>
      <w:r w:rsidR="00685074">
        <w:rPr>
          <w:color w:val="000000"/>
        </w:rPr>
        <w:t xml:space="preserve">Thus, </w:t>
      </w:r>
      <w:r w:rsidR="0028630D" w:rsidRPr="0028630D">
        <w:rPr>
          <w:color w:val="000000"/>
        </w:rPr>
        <w:t xml:space="preserve">SCL is </w:t>
      </w:r>
      <w:r w:rsidR="00685074">
        <w:rPr>
          <w:color w:val="000000"/>
        </w:rPr>
        <w:t xml:space="preserve">made </w:t>
      </w:r>
      <w:r w:rsidR="0028630D" w:rsidRPr="0028630D">
        <w:rPr>
          <w:color w:val="000000"/>
        </w:rPr>
        <w:t>synonymous with active learning</w:t>
      </w:r>
      <w:r w:rsidR="008B3551">
        <w:t>, i.e.</w:t>
      </w:r>
      <w:r w:rsidR="0028630D" w:rsidRPr="0028630D">
        <w:t xml:space="preserve"> involving activities that all students in a class session do other than simply watching, listening and taking notes of the lecture.</w:t>
      </w:r>
      <w:r w:rsidR="0028630D">
        <w:rPr>
          <w:color w:val="000000"/>
        </w:rPr>
        <w:t xml:space="preserve"> </w:t>
      </w:r>
      <w:r w:rsidR="00685074">
        <w:rPr>
          <w:color w:val="000000"/>
        </w:rPr>
        <w:t>Furthermore, the references in documents explicitly dichotomize</w:t>
      </w:r>
      <w:r w:rsidR="00685074" w:rsidRPr="00D71EC8">
        <w:rPr>
          <w:color w:val="000000"/>
        </w:rPr>
        <w:t xml:space="preserve"> SCL against “more traditional” approaches </w:t>
      </w:r>
      <w:r w:rsidR="00685074" w:rsidRPr="0028630D">
        <w:rPr>
          <w:color w:val="000000"/>
        </w:rPr>
        <w:t>centered around teacher’s input</w:t>
      </w:r>
      <w:r w:rsidR="00685074">
        <w:rPr>
          <w:color w:val="000000"/>
        </w:rPr>
        <w:t xml:space="preserve">, as for example the description provided on </w:t>
      </w:r>
      <w:r w:rsidR="00685074" w:rsidRPr="00D71EC8">
        <w:rPr>
          <w:color w:val="000000"/>
        </w:rPr>
        <w:t xml:space="preserve">the official web-site of the EHEA: </w:t>
      </w:r>
      <w:r w:rsidR="00685074">
        <w:rPr>
          <w:color w:val="000000"/>
        </w:rPr>
        <w:t>‘</w:t>
      </w:r>
      <w:r w:rsidR="00685074" w:rsidRPr="00D71EC8">
        <w:rPr>
          <w:i/>
          <w:iCs/>
          <w:color w:val="000000"/>
        </w:rPr>
        <w:t>SCL is an approach to education, which aims at overcoming some of the problems inherent to more traditional forms of education by focusing on the learner and their needs, rather than being centered around the teacher's input</w:t>
      </w:r>
      <w:r w:rsidR="00685074">
        <w:rPr>
          <w:iCs/>
          <w:color w:val="000000"/>
        </w:rPr>
        <w:t xml:space="preserve">.’ This contrast has been accentuated to such an extent that it </w:t>
      </w:r>
      <w:r w:rsidR="00685074">
        <w:rPr>
          <w:iCs/>
          <w:color w:val="000000"/>
        </w:rPr>
        <w:lastRenderedPageBreak/>
        <w:t xml:space="preserve">may no longer be obvious that </w:t>
      </w:r>
      <w:r w:rsidR="00685074">
        <w:rPr>
          <w:color w:val="000000"/>
        </w:rPr>
        <w:t xml:space="preserve">SCL </w:t>
      </w:r>
      <w:r w:rsidR="0078596F" w:rsidRPr="00D71EC8">
        <w:rPr>
          <w:color w:val="000000"/>
        </w:rPr>
        <w:t xml:space="preserve">is not </w:t>
      </w:r>
      <w:r w:rsidR="0028630D">
        <w:rPr>
          <w:color w:val="000000"/>
        </w:rPr>
        <w:t xml:space="preserve">expected </w:t>
      </w:r>
      <w:r w:rsidR="00D71EC8" w:rsidRPr="00D71EC8">
        <w:rPr>
          <w:color w:val="000000"/>
        </w:rPr>
        <w:t xml:space="preserve">to obviate “traditional” lecture-based approaches, but to complement them. </w:t>
      </w:r>
      <w:r w:rsidR="00192A72">
        <w:rPr>
          <w:color w:val="000000"/>
        </w:rPr>
        <w:t xml:space="preserve">Indeed, SCL comprises ‘interactive, complementary </w:t>
      </w:r>
      <w:r w:rsidR="00D71EC8" w:rsidRPr="0078596F">
        <w:rPr>
          <w:rFonts w:eastAsia="Times New Roman"/>
        </w:rPr>
        <w:t>activities that enable individuals to address unique learning interests and needs, study multiple levels of complexity, and deepen understanding</w:t>
      </w:r>
      <w:r w:rsidR="00685074">
        <w:rPr>
          <w:rFonts w:eastAsia="Times New Roman"/>
        </w:rPr>
        <w:t>’</w:t>
      </w:r>
      <w:r w:rsidR="00192A72">
        <w:rPr>
          <w:rFonts w:eastAsia="Times New Roman"/>
        </w:rPr>
        <w:t xml:space="preserve"> (Land, </w:t>
      </w:r>
      <w:proofErr w:type="spellStart"/>
      <w:r w:rsidR="00192A72">
        <w:rPr>
          <w:rFonts w:eastAsia="Times New Roman"/>
        </w:rPr>
        <w:t>Hannafin</w:t>
      </w:r>
      <w:proofErr w:type="spellEnd"/>
      <w:r w:rsidR="00192A72">
        <w:rPr>
          <w:rFonts w:eastAsia="Times New Roman"/>
        </w:rPr>
        <w:t>, &amp; Oliver, 2012).</w:t>
      </w:r>
      <w:r w:rsidR="00D71EC8" w:rsidRPr="0078596F">
        <w:rPr>
          <w:rFonts w:eastAsia="Times New Roman"/>
        </w:rPr>
        <w:t xml:space="preserve"> </w:t>
      </w:r>
    </w:p>
    <w:p w14:paraId="1CB6A760" w14:textId="706CC6A0" w:rsidR="00A4023A" w:rsidRPr="00685074" w:rsidRDefault="00685074" w:rsidP="00A402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The</w:t>
      </w:r>
      <w:r w:rsidR="0028630D">
        <w:rPr>
          <w:color w:val="000000"/>
        </w:rPr>
        <w:t xml:space="preserve"> clarification </w:t>
      </w:r>
      <w:r>
        <w:rPr>
          <w:color w:val="000000"/>
        </w:rPr>
        <w:t xml:space="preserve">that </w:t>
      </w:r>
      <w:r w:rsidRPr="00D71EC8">
        <w:rPr>
          <w:color w:val="000000"/>
        </w:rPr>
        <w:t xml:space="preserve">SCL is intended to compliment rather than supplant </w:t>
      </w:r>
      <w:r>
        <w:rPr>
          <w:color w:val="000000"/>
        </w:rPr>
        <w:t>fully-</w:t>
      </w:r>
      <w:r w:rsidRPr="00AE0547">
        <w:rPr>
          <w:color w:val="000000"/>
        </w:rPr>
        <w:t xml:space="preserve">guided </w:t>
      </w:r>
      <w:r>
        <w:rPr>
          <w:color w:val="000000"/>
        </w:rPr>
        <w:t xml:space="preserve">direct </w:t>
      </w:r>
      <w:r w:rsidRPr="00AE0547">
        <w:rPr>
          <w:color w:val="000000"/>
        </w:rPr>
        <w:t>instruction</w:t>
      </w:r>
      <w:r>
        <w:rPr>
          <w:color w:val="000000"/>
        </w:rPr>
        <w:t xml:space="preserve"> </w:t>
      </w:r>
      <w:r w:rsidR="0028630D">
        <w:rPr>
          <w:color w:val="000000"/>
        </w:rPr>
        <w:t xml:space="preserve">is </w:t>
      </w:r>
      <w:r w:rsidR="00CA58F5">
        <w:rPr>
          <w:color w:val="000000"/>
        </w:rPr>
        <w:t>of high significance. In training events on implementation of SCL,</w:t>
      </w:r>
      <w:r w:rsidR="00CA58F5">
        <w:rPr>
          <w:rStyle w:val="FootnoteReference"/>
          <w:color w:val="000000"/>
        </w:rPr>
        <w:footnoteReference w:id="2"/>
      </w:r>
      <w:r w:rsidR="00CA58F5">
        <w:rPr>
          <w:color w:val="000000"/>
        </w:rPr>
        <w:t xml:space="preserve"> a question of effectiveness of SCL is consistently ra</w:t>
      </w:r>
      <w:r>
        <w:rPr>
          <w:color w:val="000000"/>
        </w:rPr>
        <w:t>ised. Another frequent question</w:t>
      </w:r>
      <w:r w:rsidR="00CA58F5">
        <w:rPr>
          <w:color w:val="000000"/>
        </w:rPr>
        <w:t xml:space="preserve"> is whether it is feasible to implement SCL in mass study programs and mass classrooms. These questions do not come as a surprise. </w:t>
      </w:r>
      <w:r w:rsidR="0028630D">
        <w:rPr>
          <w:color w:val="000000"/>
        </w:rPr>
        <w:t xml:space="preserve">Among scholars, </w:t>
      </w:r>
      <w:r w:rsidR="00AE0547" w:rsidRPr="00AE0547">
        <w:rPr>
          <w:color w:val="000000"/>
        </w:rPr>
        <w:t xml:space="preserve">controversies </w:t>
      </w:r>
      <w:r w:rsidR="0028630D">
        <w:rPr>
          <w:color w:val="000000"/>
        </w:rPr>
        <w:t>exist concerning the</w:t>
      </w:r>
      <w:r w:rsidR="00AE0547" w:rsidRPr="00AE0547">
        <w:rPr>
          <w:color w:val="000000"/>
        </w:rPr>
        <w:t xml:space="preserve"> effectiveness of </w:t>
      </w:r>
      <w:r w:rsidR="00E02990" w:rsidRPr="00AE0547">
        <w:rPr>
          <w:color w:val="000000"/>
        </w:rPr>
        <w:t xml:space="preserve">constructivist learning </w:t>
      </w:r>
      <w:r w:rsidR="00AE0547" w:rsidRPr="00AE0547">
        <w:rPr>
          <w:color w:val="000000"/>
        </w:rPr>
        <w:t>environments,</w:t>
      </w:r>
      <w:r w:rsidR="0028630D">
        <w:rPr>
          <w:color w:val="000000"/>
        </w:rPr>
        <w:t xml:space="preserve"> such as SCL; s</w:t>
      </w:r>
      <w:r w:rsidR="0028630D" w:rsidRPr="00AE0547">
        <w:rPr>
          <w:color w:val="000000"/>
        </w:rPr>
        <w:t>pecifically,</w:t>
      </w:r>
      <w:r w:rsidR="00AE0547" w:rsidRPr="00AE0547">
        <w:rPr>
          <w:color w:val="000000"/>
        </w:rPr>
        <w:t xml:space="preserve"> </w:t>
      </w:r>
      <w:r w:rsidR="0028630D">
        <w:rPr>
          <w:color w:val="000000"/>
        </w:rPr>
        <w:t xml:space="preserve">as to </w:t>
      </w:r>
      <w:r w:rsidR="00E02990" w:rsidRPr="00AE0547">
        <w:rPr>
          <w:color w:val="000000"/>
        </w:rPr>
        <w:t>how much guidance is desirable in instruction and how knowledge can be best learned – through experience of procedures of disciplines or instruction based on facts and theories (</w:t>
      </w:r>
      <w:proofErr w:type="spellStart"/>
      <w:r w:rsidR="00E02990" w:rsidRPr="00AE0547">
        <w:rPr>
          <w:color w:val="000000"/>
        </w:rPr>
        <w:t>Kirschner</w:t>
      </w:r>
      <w:proofErr w:type="spellEnd"/>
      <w:r w:rsidR="00E02990" w:rsidRPr="00AE0547">
        <w:rPr>
          <w:color w:val="000000"/>
        </w:rPr>
        <w:t xml:space="preserve">, </w:t>
      </w:r>
      <w:proofErr w:type="spellStart"/>
      <w:r w:rsidR="00E02990" w:rsidRPr="00AE0547">
        <w:rPr>
          <w:color w:val="000000"/>
        </w:rPr>
        <w:t>Sweller</w:t>
      </w:r>
      <w:proofErr w:type="spellEnd"/>
      <w:r w:rsidR="00E02990" w:rsidRPr="00AE0547">
        <w:rPr>
          <w:color w:val="000000"/>
        </w:rPr>
        <w:t xml:space="preserve">, &amp; Clark, 2006, 78). There are several researchers that strongly argue in </w:t>
      </w:r>
      <w:r w:rsidR="00AE0547" w:rsidRPr="00AE0547">
        <w:rPr>
          <w:color w:val="000000"/>
        </w:rPr>
        <w:t>favor</w:t>
      </w:r>
      <w:r>
        <w:rPr>
          <w:color w:val="000000"/>
        </w:rPr>
        <w:t xml:space="preserve"> of ‘</w:t>
      </w:r>
      <w:r w:rsidR="00E02990" w:rsidRPr="00AE0547">
        <w:rPr>
          <w:color w:val="000000"/>
        </w:rPr>
        <w:t xml:space="preserve">direct, strong instructional guidance rather constructivist-based minimal guidance during the instruction of </w:t>
      </w:r>
      <w:r>
        <w:rPr>
          <w:color w:val="000000"/>
        </w:rPr>
        <w:t>novice to intermediate learners’</w:t>
      </w:r>
      <w:r w:rsidR="00E02990" w:rsidRPr="00AE0547">
        <w:rPr>
          <w:color w:val="000000"/>
        </w:rPr>
        <w:t xml:space="preserve"> (</w:t>
      </w:r>
      <w:proofErr w:type="spellStart"/>
      <w:r w:rsidR="00E02990" w:rsidRPr="00AE0547">
        <w:rPr>
          <w:color w:val="000000"/>
        </w:rPr>
        <w:t>Kirschner</w:t>
      </w:r>
      <w:proofErr w:type="spellEnd"/>
      <w:r w:rsidR="00E02990" w:rsidRPr="00AE0547">
        <w:rPr>
          <w:color w:val="000000"/>
        </w:rPr>
        <w:t xml:space="preserve">, </w:t>
      </w:r>
      <w:proofErr w:type="spellStart"/>
      <w:r w:rsidR="00E02990" w:rsidRPr="00AE0547">
        <w:rPr>
          <w:color w:val="000000"/>
        </w:rPr>
        <w:t>Sweller</w:t>
      </w:r>
      <w:proofErr w:type="spellEnd"/>
      <w:r w:rsidR="00E02990" w:rsidRPr="00AE0547">
        <w:rPr>
          <w:color w:val="000000"/>
        </w:rPr>
        <w:t>, &amp; Clark, 2006, 83). The more recent interpretations of</w:t>
      </w:r>
      <w:r w:rsidR="0028630D">
        <w:rPr>
          <w:color w:val="000000"/>
        </w:rPr>
        <w:t xml:space="preserve"> </w:t>
      </w:r>
      <w:r>
        <w:rPr>
          <w:color w:val="000000"/>
        </w:rPr>
        <w:t xml:space="preserve">SCL and its related approaches </w:t>
      </w:r>
      <w:r w:rsidR="00E02990" w:rsidRPr="00AE0547">
        <w:rPr>
          <w:color w:val="000000"/>
        </w:rPr>
        <w:t xml:space="preserve">now make sure to </w:t>
      </w:r>
      <w:r w:rsidR="00AE0547" w:rsidRPr="00AE0547">
        <w:rPr>
          <w:color w:val="000000"/>
        </w:rPr>
        <w:t>emphasize</w:t>
      </w:r>
      <w:r w:rsidR="00E02990" w:rsidRPr="00AE0547">
        <w:rPr>
          <w:color w:val="000000"/>
        </w:rPr>
        <w:t xml:space="preserve"> that they do not advocate for a withdrawal of teachers or indeed for a diminished role of teachers; in </w:t>
      </w:r>
      <w:r w:rsidR="00AE0547" w:rsidRPr="00AE0547">
        <w:rPr>
          <w:color w:val="000000"/>
        </w:rPr>
        <w:t>fact,</w:t>
      </w:r>
      <w:r w:rsidR="00E02990" w:rsidRPr="00AE0547">
        <w:rPr>
          <w:color w:val="000000"/>
        </w:rPr>
        <w:t xml:space="preserve"> to the contrary</w:t>
      </w:r>
      <w:r w:rsidR="00AE0547">
        <w:rPr>
          <w:color w:val="000000"/>
        </w:rPr>
        <w:t xml:space="preserve"> (</w:t>
      </w:r>
      <w:proofErr w:type="spellStart"/>
      <w:r w:rsidR="00AE0547">
        <w:rPr>
          <w:rFonts w:eastAsia="Times New Roman"/>
        </w:rPr>
        <w:t>Hmelo</w:t>
      </w:r>
      <w:proofErr w:type="spellEnd"/>
      <w:r w:rsidR="00AE0547">
        <w:rPr>
          <w:rFonts w:eastAsia="Times New Roman"/>
        </w:rPr>
        <w:t xml:space="preserve">-Silver, Duncan, </w:t>
      </w:r>
      <w:r w:rsidR="00DE3AEF">
        <w:rPr>
          <w:rFonts w:eastAsia="Times New Roman"/>
        </w:rPr>
        <w:t>&amp;</w:t>
      </w:r>
      <w:r w:rsidR="00AE0547">
        <w:rPr>
          <w:rFonts w:eastAsia="Times New Roman"/>
        </w:rPr>
        <w:t xml:space="preserve"> Chinn, 2007)</w:t>
      </w:r>
      <w:r w:rsidR="00E02990" w:rsidRPr="00AE0547">
        <w:rPr>
          <w:color w:val="000000"/>
        </w:rPr>
        <w:t xml:space="preserve">. </w:t>
      </w:r>
      <w:r>
        <w:rPr>
          <w:color w:val="000000"/>
        </w:rPr>
        <w:t xml:space="preserve">To put it simply, SCL in pedagogy means that </w:t>
      </w:r>
      <w:r w:rsidR="00A4023A">
        <w:rPr>
          <w:color w:val="000000"/>
        </w:rPr>
        <w:t>the</w:t>
      </w:r>
      <w:r w:rsidR="00A4023A" w:rsidRPr="00AE0547">
        <w:rPr>
          <w:color w:val="000000"/>
        </w:rPr>
        <w:t xml:space="preserve"> </w:t>
      </w:r>
      <w:r w:rsidR="00A4023A">
        <w:rPr>
          <w:color w:val="000000"/>
        </w:rPr>
        <w:t>fully-</w:t>
      </w:r>
      <w:r w:rsidR="00A4023A" w:rsidRPr="00AE0547">
        <w:rPr>
          <w:color w:val="000000"/>
        </w:rPr>
        <w:t xml:space="preserve">guided </w:t>
      </w:r>
      <w:r w:rsidR="00A4023A">
        <w:rPr>
          <w:color w:val="000000"/>
        </w:rPr>
        <w:t xml:space="preserve">direct </w:t>
      </w:r>
      <w:r w:rsidR="00A4023A" w:rsidRPr="00AE0547">
        <w:rPr>
          <w:color w:val="000000"/>
        </w:rPr>
        <w:t>instruction is complemented</w:t>
      </w:r>
      <w:r>
        <w:rPr>
          <w:color w:val="000000"/>
        </w:rPr>
        <w:t xml:space="preserve"> – as appropriate -</w:t>
      </w:r>
      <w:r w:rsidR="00A4023A" w:rsidRPr="00AE0547">
        <w:rPr>
          <w:color w:val="000000"/>
        </w:rPr>
        <w:t xml:space="preserve"> by specific techniques of active learning, such as assigning open-ended problems, involving students in simulations and r</w:t>
      </w:r>
      <w:r w:rsidR="00A4023A">
        <w:rPr>
          <w:color w:val="000000"/>
        </w:rPr>
        <w:t xml:space="preserve">ole plays, and enabling self-paced, self-directed </w:t>
      </w:r>
      <w:r w:rsidR="00A4023A" w:rsidRPr="00AE0547">
        <w:rPr>
          <w:color w:val="000000"/>
        </w:rPr>
        <w:t>and/or cooperative and or peer-to-peer learning.</w:t>
      </w:r>
      <w:r w:rsidR="00A4023A" w:rsidRPr="00570D85">
        <w:rPr>
          <w:b/>
        </w:rPr>
        <w:t xml:space="preserve"> </w:t>
      </w:r>
      <w:r w:rsidR="00CA58F5" w:rsidRPr="00CA58F5">
        <w:t>Such technique</w:t>
      </w:r>
      <w:r>
        <w:t>s</w:t>
      </w:r>
      <w:r w:rsidR="00CA58F5" w:rsidRPr="00CA58F5">
        <w:t xml:space="preserve"> can be </w:t>
      </w:r>
      <w:r w:rsidR="00CA58F5">
        <w:t xml:space="preserve">applied in </w:t>
      </w:r>
      <w:r>
        <w:t xml:space="preserve">any-sized </w:t>
      </w:r>
      <w:r w:rsidR="00CA58F5" w:rsidRPr="00CA58F5">
        <w:t>classroom settings</w:t>
      </w:r>
      <w:r w:rsidR="00CA58F5">
        <w:t xml:space="preserve">, </w:t>
      </w:r>
      <w:r>
        <w:t xml:space="preserve">and obviously they do not diminish the role of the teachers but demands from them a further consideration of a carefully conceived learning designs specific to the knowledge area and expected learning outcomes. </w:t>
      </w:r>
    </w:p>
    <w:p w14:paraId="0E345259" w14:textId="77777777" w:rsidR="00E6053F" w:rsidRDefault="00E6053F"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sz w:val="22"/>
          <w:szCs w:val="22"/>
        </w:rPr>
      </w:pPr>
    </w:p>
    <w:p w14:paraId="5BA29235" w14:textId="72B5103E" w:rsidR="007E4A42" w:rsidRPr="00154BAB" w:rsidRDefault="005640C9" w:rsidP="00AB66F3">
      <w:pPr>
        <w:pStyle w:val="Heading2"/>
      </w:pPr>
      <w:r w:rsidRPr="00154BAB">
        <w:t>SCL</w:t>
      </w:r>
      <w:r w:rsidR="00DB0596" w:rsidRPr="00154BAB">
        <w:t xml:space="preserve"> as </w:t>
      </w:r>
      <w:r w:rsidR="00911B99">
        <w:t>a cultural frame</w:t>
      </w:r>
      <w:r w:rsidR="007E4A42" w:rsidRPr="00154BAB">
        <w:t xml:space="preserve"> for developing communities of learning</w:t>
      </w:r>
    </w:p>
    <w:p w14:paraId="366F0C1C" w14:textId="68480A1D" w:rsidR="00D326B8" w:rsidRDefault="00911B99" w:rsidP="00A91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890F7F">
        <w:rPr>
          <w:color w:val="000000"/>
        </w:rPr>
        <w:t xml:space="preserve">SCL is </w:t>
      </w:r>
      <w:r>
        <w:rPr>
          <w:color w:val="000000"/>
        </w:rPr>
        <w:t>seen</w:t>
      </w:r>
      <w:r w:rsidRPr="00890F7F">
        <w:rPr>
          <w:color w:val="000000"/>
        </w:rPr>
        <w:t xml:space="preserve"> as </w:t>
      </w:r>
      <w:r>
        <w:rPr>
          <w:color w:val="000000"/>
        </w:rPr>
        <w:t xml:space="preserve">an </w:t>
      </w:r>
      <w:r w:rsidRPr="00890F7F">
        <w:rPr>
          <w:color w:val="000000"/>
        </w:rPr>
        <w:t xml:space="preserve">underlying principle of the </w:t>
      </w:r>
      <w:r>
        <w:rPr>
          <w:color w:val="000000"/>
        </w:rPr>
        <w:t xml:space="preserve">EHEA (European Union, 2015, 14); indeed, as </w:t>
      </w:r>
      <w:r w:rsidRPr="00890F7F">
        <w:rPr>
          <w:color w:val="000000"/>
        </w:rPr>
        <w:t xml:space="preserve">a </w:t>
      </w:r>
      <w:r w:rsidRPr="00890F7F">
        <w:rPr>
          <w:i/>
          <w:iCs/>
          <w:color w:val="000000"/>
        </w:rPr>
        <w:t xml:space="preserve">cultural frame </w:t>
      </w:r>
      <w:r w:rsidRPr="00890F7F">
        <w:rPr>
          <w:color w:val="000000"/>
        </w:rPr>
        <w:t>in the sense of providing an interpretative lens through which individual agents – both students and teachers – could or should</w:t>
      </w:r>
      <w:r w:rsidRPr="00890F7F">
        <w:rPr>
          <w:i/>
          <w:iCs/>
          <w:color w:val="000000"/>
        </w:rPr>
        <w:t xml:space="preserve"> </w:t>
      </w:r>
      <w:r w:rsidRPr="00890F7F">
        <w:rPr>
          <w:color w:val="000000"/>
        </w:rPr>
        <w:t>encode their expectations about how to relate to one another in context of a higher education institution.</w:t>
      </w:r>
      <w:r w:rsidRPr="00A91C50">
        <w:rPr>
          <w:color w:val="000000"/>
        </w:rPr>
        <w:t xml:space="preserve"> </w:t>
      </w:r>
      <w:r w:rsidR="005640C9" w:rsidRPr="00890F7F">
        <w:rPr>
          <w:color w:val="000000"/>
        </w:rPr>
        <w:t xml:space="preserve">ESU and IE suggest that </w:t>
      </w:r>
      <w:r>
        <w:rPr>
          <w:color w:val="000000"/>
        </w:rPr>
        <w:t>‘</w:t>
      </w:r>
      <w:r w:rsidR="005640C9" w:rsidRPr="00890F7F">
        <w:rPr>
          <w:i/>
          <w:iCs/>
          <w:color w:val="000000"/>
        </w:rPr>
        <w:t>SCL represents both a mindset and a culture within a giv</w:t>
      </w:r>
      <w:r>
        <w:rPr>
          <w:i/>
          <w:iCs/>
          <w:color w:val="000000"/>
        </w:rPr>
        <w:t>en higher education institution’</w:t>
      </w:r>
      <w:r w:rsidR="005640C9" w:rsidRPr="00890F7F">
        <w:rPr>
          <w:i/>
          <w:iCs/>
          <w:color w:val="000000"/>
        </w:rPr>
        <w:t xml:space="preserve"> </w:t>
      </w:r>
      <w:r w:rsidR="005640C9" w:rsidRPr="00890F7F">
        <w:rPr>
          <w:color w:val="000000"/>
        </w:rPr>
        <w:t>(EI and ESU, 2010</w:t>
      </w:r>
      <w:r w:rsidR="00033EBC">
        <w:rPr>
          <w:color w:val="000000"/>
        </w:rPr>
        <w:t>b</w:t>
      </w:r>
      <w:r w:rsidR="005640C9" w:rsidRPr="00890F7F">
        <w:rPr>
          <w:color w:val="000000"/>
        </w:rPr>
        <w:t xml:space="preserve">). The ECTS Users’ Guide </w:t>
      </w:r>
      <w:r w:rsidR="00DB0596" w:rsidRPr="00890F7F">
        <w:rPr>
          <w:color w:val="000000"/>
        </w:rPr>
        <w:t xml:space="preserve">defines SCL as </w:t>
      </w:r>
      <w:r>
        <w:rPr>
          <w:color w:val="000000"/>
        </w:rPr>
        <w:t>‘</w:t>
      </w:r>
      <w:r w:rsidR="005640C9" w:rsidRPr="00890F7F">
        <w:rPr>
          <w:i/>
          <w:iCs/>
          <w:color w:val="000000"/>
        </w:rPr>
        <w:t>a process of qualitative transformation for students and other learners in a learning environment, aimed at enhancing their autonomy and critical ability through an outcome-based approach</w:t>
      </w:r>
      <w:r>
        <w:rPr>
          <w:i/>
          <w:iCs/>
          <w:color w:val="000000"/>
        </w:rPr>
        <w:t xml:space="preserve">’ </w:t>
      </w:r>
      <w:r w:rsidRPr="00890F7F">
        <w:rPr>
          <w:color w:val="000000"/>
        </w:rPr>
        <w:t>(European Union, 2015, 26)</w:t>
      </w:r>
      <w:r>
        <w:rPr>
          <w:color w:val="000000"/>
        </w:rPr>
        <w:t xml:space="preserve">. </w:t>
      </w:r>
      <w:r w:rsidR="005640C9" w:rsidRPr="00890F7F">
        <w:rPr>
          <w:i/>
          <w:iCs/>
          <w:color w:val="000000"/>
        </w:rPr>
        <w:t xml:space="preserve"> </w:t>
      </w:r>
      <w:r>
        <w:rPr>
          <w:color w:val="000000"/>
        </w:rPr>
        <w:t>T</w:t>
      </w:r>
      <w:r w:rsidR="00DB0596" w:rsidRPr="00890F7F">
        <w:rPr>
          <w:color w:val="000000"/>
        </w:rPr>
        <w:t xml:space="preserve">he same document suggests </w:t>
      </w:r>
      <w:r w:rsidR="00DB0596" w:rsidRPr="00890F7F">
        <w:rPr>
          <w:color w:val="000000"/>
        </w:rPr>
        <w:lastRenderedPageBreak/>
        <w:t xml:space="preserve">that SCL requires </w:t>
      </w:r>
      <w:r>
        <w:rPr>
          <w:color w:val="000000"/>
        </w:rPr>
        <w:t>‘</w:t>
      </w:r>
      <w:r w:rsidR="00DB0596" w:rsidRPr="00890F7F">
        <w:rPr>
          <w:i/>
          <w:iCs/>
          <w:color w:val="000000"/>
        </w:rPr>
        <w:t>an open dialogue and reflective feedback between students, teachers and the relevant administrators, through which their needs and aspirations</w:t>
      </w:r>
      <w:r>
        <w:rPr>
          <w:i/>
          <w:iCs/>
          <w:color w:val="000000"/>
        </w:rPr>
        <w:t xml:space="preserve"> can be expressed and discussed’</w:t>
      </w:r>
      <w:r w:rsidR="00DB0596" w:rsidRPr="00890F7F">
        <w:rPr>
          <w:i/>
          <w:iCs/>
          <w:color w:val="000000"/>
        </w:rPr>
        <w:t xml:space="preserve"> </w:t>
      </w:r>
      <w:r w:rsidR="00DB0596" w:rsidRPr="00890F7F">
        <w:rPr>
          <w:color w:val="000000"/>
        </w:rPr>
        <w:t>(European Union, 2015, 26).</w:t>
      </w:r>
      <w:r w:rsidR="00A91C50">
        <w:rPr>
          <w:color w:val="000000"/>
        </w:rPr>
        <w:t xml:space="preserve"> </w:t>
      </w:r>
    </w:p>
    <w:p w14:paraId="351A74F8" w14:textId="5CA8F9AE" w:rsidR="00A91C50" w:rsidRPr="00890F7F" w:rsidRDefault="00A91C50" w:rsidP="00A91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Although c</w:t>
      </w:r>
      <w:r w:rsidRPr="00890F7F">
        <w:rPr>
          <w:color w:val="000000"/>
        </w:rPr>
        <w:t>ulture has not been much invoked in policy debates</w:t>
      </w:r>
      <w:r>
        <w:rPr>
          <w:color w:val="000000"/>
        </w:rPr>
        <w:t xml:space="preserve"> on SCL</w:t>
      </w:r>
      <w:r w:rsidRPr="00890F7F">
        <w:rPr>
          <w:color w:val="000000"/>
        </w:rPr>
        <w:t xml:space="preserve">, it is central to </w:t>
      </w:r>
      <w:r>
        <w:rPr>
          <w:color w:val="000000"/>
        </w:rPr>
        <w:t xml:space="preserve">its implementation. </w:t>
      </w:r>
      <w:r w:rsidRPr="00890F7F">
        <w:rPr>
          <w:color w:val="000000"/>
        </w:rPr>
        <w:t>In sociological circles, culture is conceived as an overarching frame and narrative of common values, beliefs, attitudes within a given context (for example within a higher education system or</w:t>
      </w:r>
      <w:r>
        <w:rPr>
          <w:color w:val="000000"/>
        </w:rPr>
        <w:t xml:space="preserve"> higher education institution) or </w:t>
      </w:r>
      <w:r w:rsidRPr="00890F7F">
        <w:rPr>
          <w:color w:val="000000"/>
        </w:rPr>
        <w:t xml:space="preserve">common understandings that bind actors together and shape their behavior.  Institutional culture is of </w:t>
      </w:r>
      <w:r>
        <w:rPr>
          <w:color w:val="000000"/>
        </w:rPr>
        <w:t>vital i</w:t>
      </w:r>
      <w:r w:rsidRPr="00890F7F">
        <w:rPr>
          <w:color w:val="000000"/>
        </w:rPr>
        <w:t xml:space="preserve">mportance for implementation of an approach such as SCL. To put it simply, SCL reflects some deep cultural norms </w:t>
      </w:r>
      <w:r>
        <w:rPr>
          <w:color w:val="000000"/>
        </w:rPr>
        <w:t xml:space="preserve">and </w:t>
      </w:r>
      <w:r w:rsidRPr="00890F7F">
        <w:rPr>
          <w:color w:val="000000"/>
        </w:rPr>
        <w:t>culturally unaware policies te</w:t>
      </w:r>
      <w:r>
        <w:rPr>
          <w:color w:val="000000"/>
        </w:rPr>
        <w:t>nd to fail in implementation</w:t>
      </w:r>
      <w:r w:rsidRPr="00890F7F">
        <w:rPr>
          <w:color w:val="000000"/>
        </w:rPr>
        <w:t xml:space="preserve">. </w:t>
      </w:r>
    </w:p>
    <w:p w14:paraId="20B80F3C" w14:textId="77777777" w:rsidR="00B3287A" w:rsidRDefault="00A91C50" w:rsidP="00B32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154BAB">
        <w:rPr>
          <w:color w:val="000000"/>
        </w:rPr>
        <w:t>Most important here are the cultural frames regarding teacher-student and university-student relationships. The nature of these relationships differs significantly</w:t>
      </w:r>
      <w:r>
        <w:rPr>
          <w:color w:val="000000"/>
        </w:rPr>
        <w:t xml:space="preserve"> across higher education systems</w:t>
      </w:r>
      <w:r w:rsidR="00572465">
        <w:rPr>
          <w:color w:val="000000"/>
        </w:rPr>
        <w:t xml:space="preserve"> between ‘</w:t>
      </w:r>
      <w:r w:rsidRPr="00154BAB">
        <w:rPr>
          <w:color w:val="000000"/>
        </w:rPr>
        <w:t>authoritarian-paternalistic, democratic-collegiate or managerial-corporate arrangements, each of which invokes different conceptions (or metaphors) of students, such as students as pupils, as consti</w:t>
      </w:r>
      <w:r w:rsidR="00572465">
        <w:rPr>
          <w:color w:val="000000"/>
        </w:rPr>
        <w:t>tuency or as customers’</w:t>
      </w:r>
      <w:r w:rsidRPr="00154BAB">
        <w:rPr>
          <w:color w:val="000000"/>
        </w:rPr>
        <w:t xml:space="preserve"> (Klemenčič, 2015c, 531). For example, in educational systems in which teachers enact pedagogical paternalism and in which students are conceived as pupils and as children, SCL as a </w:t>
      </w:r>
      <w:r w:rsidR="0007789F">
        <w:rPr>
          <w:color w:val="000000"/>
        </w:rPr>
        <w:t>value</w:t>
      </w:r>
      <w:r w:rsidRPr="00154BAB">
        <w:rPr>
          <w:color w:val="000000"/>
        </w:rPr>
        <w:t xml:space="preserve"> does not fall naturally into place. The main issue of contention is the extent of students’ intellectual capacity (and perhaps also emotional maturity) to make informed choices on issues, such as content of courses, methodology of class instruction or modes of assessment; and consequently the degree of autonomy granted to </w:t>
      </w:r>
      <w:proofErr w:type="gramStart"/>
      <w:r w:rsidRPr="00154BAB">
        <w:rPr>
          <w:color w:val="000000"/>
        </w:rPr>
        <w:t>students</w:t>
      </w:r>
      <w:proofErr w:type="gramEnd"/>
      <w:r w:rsidRPr="00154BAB">
        <w:rPr>
          <w:color w:val="000000"/>
        </w:rPr>
        <w:t xml:space="preserve"> </w:t>
      </w:r>
      <w:r w:rsidRPr="00154BAB">
        <w:rPr>
          <w:i/>
          <w:color w:val="000000"/>
        </w:rPr>
        <w:t>vis-a-vis</w:t>
      </w:r>
      <w:r w:rsidRPr="00154BAB">
        <w:rPr>
          <w:color w:val="000000"/>
        </w:rPr>
        <w:t xml:space="preserve"> teachers. If teachers believe that their responsibility is to act </w:t>
      </w:r>
      <w:r w:rsidRPr="00154BAB">
        <w:rPr>
          <w:i/>
          <w:iCs/>
          <w:color w:val="000000"/>
        </w:rPr>
        <w:t>in loco parentis</w:t>
      </w:r>
      <w:r w:rsidRPr="00154BAB">
        <w:rPr>
          <w:color w:val="000000"/>
        </w:rPr>
        <w:t xml:space="preserve"> and act in the best interest of students, regardless of what students believe are their best interests, students will have difficulties to negotiate the autonomy that SCL approach implies. Students’ agency, their capabilities to influence learning processes are limited by the expectations as to their role and behavior inherent in given cultural frames. On the other hand, student inoculated through paternalistic schooling system (and possibly authoritarianism as part of cultural make-up of their societies), may have difficulties in accepting the roles that SCL approach envisages for them and enact agency to intervene in the ways SCL app</w:t>
      </w:r>
      <w:r w:rsidR="00572465">
        <w:rPr>
          <w:color w:val="000000"/>
        </w:rPr>
        <w:t>roach expects from them, such as self-direction, assertion of preferred learning paths and engagement in decision-making.</w:t>
      </w:r>
      <w:r w:rsidR="005A31D6">
        <w:rPr>
          <w:color w:val="000000"/>
        </w:rPr>
        <w:t xml:space="preserve"> </w:t>
      </w:r>
    </w:p>
    <w:p w14:paraId="16906F6E" w14:textId="669F0EA0" w:rsidR="00A91C50" w:rsidRPr="00B3287A" w:rsidRDefault="005A31D6" w:rsidP="00B32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B3287A">
        <w:rPr>
          <w:color w:val="000000"/>
        </w:rPr>
        <w:t xml:space="preserve">In democratic-collegiate settings, </w:t>
      </w:r>
      <w:r w:rsidR="00033EBC" w:rsidRPr="00B3287A">
        <w:rPr>
          <w:color w:val="000000"/>
        </w:rPr>
        <w:t>students are conceived as members of academic community and as such part of the collectivity engaged in the educational process (</w:t>
      </w:r>
      <w:proofErr w:type="spellStart"/>
      <w:r w:rsidR="00033EBC" w:rsidRPr="00B3287A">
        <w:rPr>
          <w:color w:val="000000"/>
        </w:rPr>
        <w:t>Luesher</w:t>
      </w:r>
      <w:proofErr w:type="spellEnd"/>
      <w:r w:rsidR="00033EBC" w:rsidRPr="00B3287A">
        <w:rPr>
          <w:color w:val="000000"/>
        </w:rPr>
        <w:t xml:space="preserve">, 2012; </w:t>
      </w:r>
      <w:r w:rsidR="00B3287A" w:rsidRPr="00882C31">
        <w:rPr>
          <w:color w:val="000000"/>
        </w:rPr>
        <w:t>Klemenčič</w:t>
      </w:r>
      <w:r w:rsidR="00033EBC" w:rsidRPr="00B3287A">
        <w:rPr>
          <w:color w:val="000000"/>
        </w:rPr>
        <w:t xml:space="preserve">, 2011; </w:t>
      </w:r>
      <w:r w:rsidR="00B3287A" w:rsidRPr="00882C31">
        <w:rPr>
          <w:color w:val="000000"/>
        </w:rPr>
        <w:t>Klemenčič</w:t>
      </w:r>
      <w:r w:rsidR="00033EBC" w:rsidRPr="00B3287A">
        <w:rPr>
          <w:color w:val="000000"/>
        </w:rPr>
        <w:t xml:space="preserve">, 2012).  Since the emphasis is on collective experience and coproduction of knowledge, </w:t>
      </w:r>
      <w:r w:rsidR="00B3287A" w:rsidRPr="00B3287A">
        <w:rPr>
          <w:color w:val="000000"/>
        </w:rPr>
        <w:t>such setti</w:t>
      </w:r>
      <w:r w:rsidR="00B3287A">
        <w:rPr>
          <w:color w:val="000000"/>
        </w:rPr>
        <w:t>ngs make provisions for student</w:t>
      </w:r>
      <w:r w:rsidR="00B3287A" w:rsidRPr="00B3287A">
        <w:rPr>
          <w:color w:val="000000"/>
        </w:rPr>
        <w:t xml:space="preserve"> involvement in decision-making processes as well as imply expectations of ‘</w:t>
      </w:r>
      <w:r w:rsidR="00B3287A" w:rsidRPr="00B3287A">
        <w:t xml:space="preserve">student, lecturers and others who support the learning process as being engaged in a cooperative enterprise, which is focused on knowledge, its production, dissemination and application, and on the development of learners’ (McCulloch 2009, 181, cited in </w:t>
      </w:r>
      <w:proofErr w:type="spellStart"/>
      <w:r w:rsidR="00B3287A" w:rsidRPr="00B3287A">
        <w:t>Luesher</w:t>
      </w:r>
      <w:proofErr w:type="spellEnd"/>
      <w:r w:rsidR="00B3287A" w:rsidRPr="00B3287A">
        <w:t xml:space="preserve">, 2012, 8). </w:t>
      </w:r>
      <w:r w:rsidR="00B3287A">
        <w:t>Hence, such settings are highly conducive to the implementation of SCL.</w:t>
      </w:r>
    </w:p>
    <w:p w14:paraId="3E0F8655" w14:textId="5C495EDB" w:rsidR="00A91C50" w:rsidRPr="00154BAB" w:rsidRDefault="00A91C50" w:rsidP="00A91C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154BAB">
        <w:rPr>
          <w:color w:val="000000"/>
        </w:rPr>
        <w:lastRenderedPageBreak/>
        <w:t xml:space="preserve">The contractual relationship between students and teachers implied in corporate university arrangements appears more in tune with student-centered premises, but there is a contentious debate in scholarly circles as to what extent this is actually true. Conceived as customers, students indeed have a high degree of autonomy and are able (and arguably also more inclined) to make demands as to the contents and methods of instruction (Van </w:t>
      </w:r>
      <w:proofErr w:type="spellStart"/>
      <w:r w:rsidRPr="00154BAB">
        <w:rPr>
          <w:color w:val="000000"/>
        </w:rPr>
        <w:t>Andel</w:t>
      </w:r>
      <w:proofErr w:type="spellEnd"/>
      <w:r w:rsidRPr="00154BAB">
        <w:rPr>
          <w:color w:val="000000"/>
        </w:rPr>
        <w:t xml:space="preserve">, </w:t>
      </w:r>
      <w:proofErr w:type="spellStart"/>
      <w:r w:rsidRPr="00154BAB">
        <w:rPr>
          <w:color w:val="000000"/>
        </w:rPr>
        <w:t>Botas</w:t>
      </w:r>
      <w:proofErr w:type="spellEnd"/>
      <w:r w:rsidRPr="00154BAB">
        <w:rPr>
          <w:color w:val="000000"/>
        </w:rPr>
        <w:t xml:space="preserve">, &amp; Huisman, 2012; Klemenčič, 2015a). They also have explicit rights to complain when their expectations are not met or if they are otherwise dissatisfied. However, in transactional relationships, students may also be less likely to assume responsibilities for their own learning and expect knowledge to be provided to them in quickest possible and most effective way (Van </w:t>
      </w:r>
      <w:proofErr w:type="spellStart"/>
      <w:r w:rsidRPr="00154BAB">
        <w:rPr>
          <w:color w:val="000000"/>
        </w:rPr>
        <w:t>Andel</w:t>
      </w:r>
      <w:proofErr w:type="spellEnd"/>
      <w:r w:rsidRPr="00154BAB">
        <w:rPr>
          <w:color w:val="000000"/>
        </w:rPr>
        <w:t xml:space="preserve">, </w:t>
      </w:r>
      <w:proofErr w:type="spellStart"/>
      <w:r w:rsidRPr="00154BAB">
        <w:rPr>
          <w:color w:val="000000"/>
        </w:rPr>
        <w:t>Botas</w:t>
      </w:r>
      <w:proofErr w:type="spellEnd"/>
      <w:r w:rsidRPr="00154BAB">
        <w:rPr>
          <w:color w:val="000000"/>
        </w:rPr>
        <w:t>, &amp; Huisman, 2012; Klemenčič, 2015c). The expressive individualism and choice-based values in such higher educational settings may undermine the spirit of collective academic experience which is inherent in e</w:t>
      </w:r>
      <w:r w:rsidR="00572465">
        <w:rPr>
          <w:color w:val="000000"/>
        </w:rPr>
        <w:t>ducational establishments, and ‘</w:t>
      </w:r>
      <w:r w:rsidRPr="00154BAB">
        <w:rPr>
          <w:color w:val="000000"/>
        </w:rPr>
        <w:t xml:space="preserve">puts in question – or significantly alters – the pathways to social integration that have been for long held as essential for student retention and college </w:t>
      </w:r>
      <w:r w:rsidR="00572465">
        <w:rPr>
          <w:color w:val="000000"/>
        </w:rPr>
        <w:t>success’</w:t>
      </w:r>
      <w:r w:rsidRPr="00154BAB">
        <w:rPr>
          <w:color w:val="000000"/>
        </w:rPr>
        <w:t xml:space="preserve"> (Klemenčič, 2015a, 537). </w:t>
      </w:r>
    </w:p>
    <w:p w14:paraId="6B7523F5" w14:textId="6812BB1B" w:rsidR="007E4A42" w:rsidRDefault="00A91C50"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color w:val="000000"/>
        </w:rPr>
        <w:t>I</w:t>
      </w:r>
      <w:r w:rsidRPr="00154BAB">
        <w:rPr>
          <w:color w:val="000000"/>
        </w:rPr>
        <w:t xml:space="preserve">n cultural conceptions of SCL, we </w:t>
      </w:r>
      <w:r w:rsidR="00572465">
        <w:rPr>
          <w:color w:val="000000"/>
        </w:rPr>
        <w:t xml:space="preserve">also </w:t>
      </w:r>
      <w:r w:rsidRPr="00154BAB">
        <w:rPr>
          <w:color w:val="000000"/>
        </w:rPr>
        <w:t>cannot ignore the different types of cultural orientations of students. There is a type of students who view higher education predominantly as a way to a degree (the “</w:t>
      </w:r>
      <w:proofErr w:type="spellStart"/>
      <w:r w:rsidRPr="00154BAB">
        <w:rPr>
          <w:color w:val="000000"/>
        </w:rPr>
        <w:t>credentialists</w:t>
      </w:r>
      <w:proofErr w:type="spellEnd"/>
      <w:r w:rsidRPr="00154BAB">
        <w:rPr>
          <w:color w:val="000000"/>
        </w:rPr>
        <w:t xml:space="preserve">”) and neither have strong professional orientations </w:t>
      </w:r>
      <w:r w:rsidR="00572465">
        <w:rPr>
          <w:color w:val="000000"/>
        </w:rPr>
        <w:t>n</w:t>
      </w:r>
      <w:r w:rsidRPr="00154BAB">
        <w:rPr>
          <w:color w:val="000000"/>
        </w:rPr>
        <w:t>or a serious interest in learning (</w:t>
      </w:r>
      <w:proofErr w:type="spellStart"/>
      <w:r w:rsidRPr="00154BAB">
        <w:rPr>
          <w:color w:val="000000"/>
        </w:rPr>
        <w:t>Grisby</w:t>
      </w:r>
      <w:proofErr w:type="spellEnd"/>
      <w:r w:rsidRPr="00154BAB">
        <w:rPr>
          <w:color w:val="000000"/>
        </w:rPr>
        <w:t>, 2009). This cultural subgroup of students is not necessarily marginal in higher education settings. Among the various types of cultural orientations of students, it is in fact only the “academic” type of students, who emphasize academic achievement, and identify themselves as those who enjoy learning and gaining knowledge for its own sake (</w:t>
      </w:r>
      <w:proofErr w:type="spellStart"/>
      <w:r w:rsidRPr="00154BAB">
        <w:rPr>
          <w:color w:val="000000"/>
        </w:rPr>
        <w:t>Grisby</w:t>
      </w:r>
      <w:proofErr w:type="spellEnd"/>
      <w:r w:rsidRPr="00154BAB">
        <w:rPr>
          <w:color w:val="000000"/>
        </w:rPr>
        <w:t>, 2009). At least some of the student representatives qualify as the “academic” type or at least they have developed the meta awareness of the institutional orientation towards academic achi</w:t>
      </w:r>
      <w:r w:rsidR="00572465">
        <w:rPr>
          <w:color w:val="000000"/>
        </w:rPr>
        <w:t>evement through their function. S</w:t>
      </w:r>
      <w:r w:rsidR="00572465" w:rsidRPr="00154BAB">
        <w:rPr>
          <w:color w:val="000000"/>
        </w:rPr>
        <w:t xml:space="preserve">tudent representatives might </w:t>
      </w:r>
      <w:r w:rsidR="00572465">
        <w:rPr>
          <w:color w:val="000000"/>
        </w:rPr>
        <w:t>indeed populate</w:t>
      </w:r>
      <w:r w:rsidR="00572465" w:rsidRPr="00154BAB">
        <w:rPr>
          <w:color w:val="000000"/>
        </w:rPr>
        <w:t xml:space="preserve"> a particular student subgroup</w:t>
      </w:r>
      <w:r w:rsidR="00572465">
        <w:rPr>
          <w:color w:val="000000"/>
        </w:rPr>
        <w:t xml:space="preserve"> </w:t>
      </w:r>
      <w:r w:rsidR="00572465" w:rsidRPr="00154BAB">
        <w:rPr>
          <w:color w:val="000000"/>
        </w:rPr>
        <w:t>defined by heightened sense of collective responsibility, political ambitions and interest in university matters.</w:t>
      </w:r>
      <w:r w:rsidR="00572465" w:rsidRPr="00154BAB">
        <w:rPr>
          <w:rStyle w:val="FootnoteReference"/>
          <w:color w:val="000000"/>
        </w:rPr>
        <w:footnoteReference w:id="3"/>
      </w:r>
      <w:r w:rsidR="00572465" w:rsidRPr="00A91C50">
        <w:rPr>
          <w:color w:val="000000"/>
        </w:rPr>
        <w:t xml:space="preserve"> </w:t>
      </w:r>
      <w:r w:rsidRPr="00154BAB">
        <w:rPr>
          <w:color w:val="000000"/>
        </w:rPr>
        <w:t xml:space="preserve">Students who are primarily concerned about getting a job (“careerist”) or those who thrive on the social activities that are part of student life (“collegiate”) or those that are heavily invested in </w:t>
      </w:r>
      <w:r w:rsidR="00D326B8">
        <w:rPr>
          <w:color w:val="000000"/>
        </w:rPr>
        <w:t>political or civic initiative (</w:t>
      </w:r>
      <w:r w:rsidRPr="00154BAB">
        <w:rPr>
          <w:color w:val="000000"/>
        </w:rPr>
        <w:t xml:space="preserve">the </w:t>
      </w:r>
      <w:r w:rsidR="00D326B8">
        <w:rPr>
          <w:color w:val="000000"/>
        </w:rPr>
        <w:t>“</w:t>
      </w:r>
      <w:r w:rsidRPr="00154BAB">
        <w:rPr>
          <w:color w:val="000000"/>
        </w:rPr>
        <w:t>activists”) (</w:t>
      </w:r>
      <w:proofErr w:type="spellStart"/>
      <w:r w:rsidRPr="00154BAB">
        <w:rPr>
          <w:color w:val="000000"/>
        </w:rPr>
        <w:t>Grisby</w:t>
      </w:r>
      <w:proofErr w:type="spellEnd"/>
      <w:r w:rsidRPr="00154BAB">
        <w:rPr>
          <w:color w:val="000000"/>
        </w:rPr>
        <w:t xml:space="preserve">, 2009), tend to balance their activities (how they spend their time) in favor of pursuits other than academic and commit themselves to academic work only to the extent this is supportive or compatible with their other goals. Such a diversity of students’ identities and dispositions for academic achievement calls for a careful consideration of how to balance granting students choice and freedom do devise their own learning path with a more structured and guided approach to teaching and learning. </w:t>
      </w:r>
    </w:p>
    <w:p w14:paraId="4C16AF30" w14:textId="5E935ACC" w:rsidR="00AB66F3" w:rsidRDefault="00572465" w:rsidP="00176F7D">
      <w:pPr>
        <w:spacing w:after="120" w:line="288" w:lineRule="auto"/>
        <w:jc w:val="both"/>
      </w:pPr>
      <w:r>
        <w:rPr>
          <w:color w:val="000000"/>
        </w:rPr>
        <w:t xml:space="preserve">In sum, implementation of SCL requires a careful consideration of </w:t>
      </w:r>
      <w:r w:rsidR="00FB132C">
        <w:rPr>
          <w:color w:val="000000"/>
        </w:rPr>
        <w:t xml:space="preserve">the cultural frames implied in higher education institutions’ </w:t>
      </w:r>
      <w:r w:rsidR="00FB132C" w:rsidRPr="002E6C47">
        <w:t>regulations and statutory documents</w:t>
      </w:r>
      <w:r w:rsidR="00FB132C">
        <w:t xml:space="preserve">, </w:t>
      </w:r>
      <w:r w:rsidR="00FB132C" w:rsidRPr="002E6C47">
        <w:t xml:space="preserve">norms of appropriate behavior and informal sanctions that </w:t>
      </w:r>
      <w:r w:rsidR="00FB132C">
        <w:t>can be derived from these formal rules and regulations, and values and</w:t>
      </w:r>
      <w:r w:rsidR="00FB132C" w:rsidRPr="002E6C47">
        <w:t xml:space="preserve"> </w:t>
      </w:r>
      <w:r w:rsidR="00FB132C" w:rsidRPr="002E6C47">
        <w:lastRenderedPageBreak/>
        <w:t xml:space="preserve">cultural frames, </w:t>
      </w:r>
      <w:r w:rsidR="00FB132C">
        <w:t xml:space="preserve">that shape behavior of students, teachers and higher education professionals.  Finally, none of the members of the academic community are a perfectly homogeneous group and their cultural orientations need to be explored. </w:t>
      </w:r>
    </w:p>
    <w:p w14:paraId="560F248B" w14:textId="77777777" w:rsidR="00176F7D" w:rsidRDefault="00176F7D" w:rsidP="00176F7D">
      <w:pPr>
        <w:spacing w:after="120" w:line="288" w:lineRule="auto"/>
        <w:jc w:val="both"/>
      </w:pPr>
    </w:p>
    <w:p w14:paraId="07F15EC6" w14:textId="4D75C9DF" w:rsidR="007E4A42" w:rsidRPr="00FB132C" w:rsidRDefault="007E4A42" w:rsidP="00AB66F3">
      <w:pPr>
        <w:pStyle w:val="Heading2"/>
        <w:rPr>
          <w:color w:val="auto"/>
          <w:sz w:val="24"/>
          <w:szCs w:val="24"/>
        </w:rPr>
      </w:pPr>
      <w:r>
        <w:rPr>
          <w:sz w:val="22"/>
          <w:szCs w:val="22"/>
        </w:rPr>
        <w:t xml:space="preserve">SCL as </w:t>
      </w:r>
      <w:r w:rsidR="00651D1B">
        <w:t xml:space="preserve">a lever supporting </w:t>
      </w:r>
      <w:r w:rsidR="00647A64">
        <w:t>learning</w:t>
      </w:r>
      <w:r w:rsidR="0083435C">
        <w:t xml:space="preserve"> systems</w:t>
      </w:r>
    </w:p>
    <w:p w14:paraId="215E9D7F" w14:textId="089AD308" w:rsidR="00647A64" w:rsidRDefault="007C0B18" w:rsidP="00154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AB66F3">
        <w:rPr>
          <w:color w:val="000000"/>
        </w:rPr>
        <w:t>In EHEA,</w:t>
      </w:r>
      <w:r w:rsidR="007E4A42" w:rsidRPr="00AB66F3">
        <w:rPr>
          <w:color w:val="000000"/>
        </w:rPr>
        <w:t xml:space="preserve"> </w:t>
      </w:r>
      <w:r w:rsidR="00455041" w:rsidRPr="00AB66F3">
        <w:rPr>
          <w:color w:val="000000"/>
        </w:rPr>
        <w:t xml:space="preserve">SCL </w:t>
      </w:r>
      <w:r w:rsidRPr="00AB66F3">
        <w:rPr>
          <w:color w:val="000000"/>
        </w:rPr>
        <w:t>has become</w:t>
      </w:r>
      <w:r w:rsidR="00E56AA0" w:rsidRPr="00AB66F3">
        <w:rPr>
          <w:color w:val="000000"/>
        </w:rPr>
        <w:t xml:space="preserve"> </w:t>
      </w:r>
      <w:r w:rsidR="00455041" w:rsidRPr="00AB66F3">
        <w:rPr>
          <w:color w:val="000000"/>
        </w:rPr>
        <w:t>an “</w:t>
      </w:r>
      <w:r w:rsidR="00455041" w:rsidRPr="00AB66F3">
        <w:rPr>
          <w:i/>
          <w:color w:val="000000"/>
        </w:rPr>
        <w:t>underlying principle”</w:t>
      </w:r>
      <w:r w:rsidR="00455041" w:rsidRPr="00AB66F3">
        <w:rPr>
          <w:color w:val="000000"/>
        </w:rPr>
        <w:t xml:space="preserve"> of </w:t>
      </w:r>
      <w:r w:rsidRPr="00AB66F3">
        <w:rPr>
          <w:color w:val="000000"/>
        </w:rPr>
        <w:t>EHEA</w:t>
      </w:r>
      <w:r w:rsidR="00177727" w:rsidRPr="00AB66F3">
        <w:rPr>
          <w:color w:val="000000"/>
        </w:rPr>
        <w:t xml:space="preserve"> </w:t>
      </w:r>
      <w:r w:rsidR="00455041" w:rsidRPr="00AB66F3">
        <w:rPr>
          <w:color w:val="000000"/>
        </w:rPr>
        <w:t xml:space="preserve">(London Communiqué, 2007, 3.7; Leuven Communiqué, 2009, 2; </w:t>
      </w:r>
      <w:r w:rsidR="00642FB1" w:rsidRPr="00AB66F3">
        <w:rPr>
          <w:color w:val="000000"/>
        </w:rPr>
        <w:t>European Union, 2015, 14)</w:t>
      </w:r>
      <w:r w:rsidR="00177727" w:rsidRPr="00AB66F3">
        <w:rPr>
          <w:color w:val="000000"/>
        </w:rPr>
        <w:t xml:space="preserve">. Content analysis of relevant EHEA policy documents reveals </w:t>
      </w:r>
      <w:r w:rsidR="00154696" w:rsidRPr="00AB66F3">
        <w:rPr>
          <w:color w:val="000000"/>
        </w:rPr>
        <w:t xml:space="preserve">that SCL is expected to support a number of areas within the institutional </w:t>
      </w:r>
      <w:r w:rsidR="00647A64">
        <w:rPr>
          <w:color w:val="000000"/>
        </w:rPr>
        <w:t>learning</w:t>
      </w:r>
      <w:r w:rsidR="00154696" w:rsidRPr="00AB66F3">
        <w:rPr>
          <w:color w:val="000000"/>
        </w:rPr>
        <w:t xml:space="preserve"> systems apart from pedagogy. </w:t>
      </w:r>
      <w:r w:rsidR="00AB66F3" w:rsidRPr="00AB66F3">
        <w:rPr>
          <w:color w:val="000000"/>
        </w:rPr>
        <w:t>In the London Communiqué (2007), an explicit link is made in terms of “</w:t>
      </w:r>
      <w:r w:rsidR="00AB66F3" w:rsidRPr="00AB66F3">
        <w:rPr>
          <w:i/>
          <w:iCs/>
          <w:color w:val="000000"/>
        </w:rPr>
        <w:t>student-centered, outcome-based learning</w:t>
      </w:r>
      <w:r w:rsidR="00AB66F3" w:rsidRPr="00AB66F3">
        <w:rPr>
          <w:color w:val="000000"/>
        </w:rPr>
        <w:t xml:space="preserve">” and national qualifications frameworks, learning outcomes and credits, lifelong learning, and the recognition of prior learning (London Communiqué, 2007, point 3.7). A more systematic analysis reveals </w:t>
      </w:r>
      <w:r w:rsidR="00E31ABB">
        <w:rPr>
          <w:color w:val="000000"/>
        </w:rPr>
        <w:t>four</w:t>
      </w:r>
      <w:r w:rsidR="00AB66F3" w:rsidRPr="00AB66F3">
        <w:rPr>
          <w:color w:val="000000"/>
        </w:rPr>
        <w:t xml:space="preserve"> major areas of application of SCL</w:t>
      </w:r>
      <w:r w:rsidR="00072AFE">
        <w:rPr>
          <w:color w:val="000000"/>
        </w:rPr>
        <w:t>, apart from aforementioned pedagogy</w:t>
      </w:r>
      <w:r w:rsidR="00AB66F3" w:rsidRPr="00AB66F3">
        <w:rPr>
          <w:color w:val="000000"/>
        </w:rPr>
        <w:t xml:space="preserve">. </w:t>
      </w:r>
    </w:p>
    <w:p w14:paraId="7A3E9933" w14:textId="35563786" w:rsidR="00AA1C1B" w:rsidRPr="00E31ABB" w:rsidRDefault="00154696" w:rsidP="00647A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AB66F3">
        <w:rPr>
          <w:color w:val="000000"/>
        </w:rPr>
        <w:t xml:space="preserve">One such area is assessment with recommendation for more formative assessment methods and clarity and transparency of assessment procedures. Another area </w:t>
      </w:r>
      <w:r w:rsidR="00176F7D">
        <w:rPr>
          <w:color w:val="000000"/>
        </w:rPr>
        <w:t>of application of SCL lies in the areas of curriculum design and qualification frameworks. SCL is specifically associated with more</w:t>
      </w:r>
      <w:r w:rsidRPr="00AB66F3">
        <w:rPr>
          <w:color w:val="000000"/>
        </w:rPr>
        <w:t xml:space="preserve"> flexible learning paths</w:t>
      </w:r>
      <w:r w:rsidR="00176F7D">
        <w:rPr>
          <w:color w:val="000000"/>
        </w:rPr>
        <w:t xml:space="preserve"> which imply </w:t>
      </w:r>
      <w:r w:rsidR="00176F7D" w:rsidRPr="005E10E0">
        <w:t xml:space="preserve">more in-built flexibility in the curriculum </w:t>
      </w:r>
      <w:r w:rsidR="00176F7D" w:rsidRPr="005E10E0">
        <w:rPr>
          <w:color w:val="000000"/>
        </w:rPr>
        <w:t xml:space="preserve">in terms of elective courses, but also broadening the curriculum to include multidisciplinary courses </w:t>
      </w:r>
      <w:r w:rsidR="00176F7D" w:rsidRPr="005E10E0">
        <w:t xml:space="preserve">to help students to develop a broader set of competences to make them more employable and more flexible in employment. Further objective </w:t>
      </w:r>
      <w:r w:rsidR="00176F7D">
        <w:t xml:space="preserve">here </w:t>
      </w:r>
      <w:r w:rsidR="00176F7D" w:rsidRPr="005E10E0">
        <w:t xml:space="preserve">is more flexible entry routes to study programs, which includes streamlining recognition of prior and informal learning, and more transient pathways between vocational, professional and academic oriented study programs. </w:t>
      </w:r>
      <w:r w:rsidR="00E31ABB">
        <w:t>More</w:t>
      </w:r>
      <w:r w:rsidR="00176F7D" w:rsidRPr="005E10E0">
        <w:t xml:space="preserve"> flexible delivery modes, especially in terms of e-learning and on-line, part-time, and distance education </w:t>
      </w:r>
      <w:r w:rsidR="00E31ABB">
        <w:t>are also</w:t>
      </w:r>
      <w:r w:rsidR="00176F7D" w:rsidRPr="005E10E0">
        <w:t xml:space="preserve"> aimed for. </w:t>
      </w:r>
      <w:r w:rsidR="00176F7D">
        <w:t xml:space="preserve">Both assessment and curriculum design </w:t>
      </w:r>
      <w:r w:rsidRPr="00AB66F3">
        <w:t xml:space="preserve">are </w:t>
      </w:r>
      <w:r w:rsidR="00176F7D">
        <w:t>conditioned upon the</w:t>
      </w:r>
      <w:r w:rsidRPr="00AB66F3">
        <w:t xml:space="preserve"> implementation of learning outcomes as statements of what a learner is expected to know, understand and be able</w:t>
      </w:r>
      <w:r w:rsidR="00AB66F3" w:rsidRPr="00AB66F3">
        <w:t xml:space="preserve"> to do after successful comple</w:t>
      </w:r>
      <w:r w:rsidRPr="00AB66F3">
        <w:t xml:space="preserve">tion of a </w:t>
      </w:r>
      <w:r w:rsidR="00AB66F3" w:rsidRPr="00AB66F3">
        <w:t xml:space="preserve">process of learning within a course of whole study program (European Union, 2015). </w:t>
      </w:r>
      <w:r w:rsidR="00AB66F3" w:rsidRPr="00AB66F3">
        <w:rPr>
          <w:color w:val="000000"/>
        </w:rPr>
        <w:t xml:space="preserve">In policy documents, implementation of learning outcomes and implementation of SCL appear as mutually reinforcing. </w:t>
      </w:r>
      <w:r w:rsidRPr="00AB66F3">
        <w:rPr>
          <w:color w:val="000000"/>
        </w:rPr>
        <w:t xml:space="preserve">The </w:t>
      </w:r>
      <w:r w:rsidR="00AB66F3" w:rsidRPr="00AB66F3">
        <w:rPr>
          <w:color w:val="000000"/>
        </w:rPr>
        <w:t xml:space="preserve">third </w:t>
      </w:r>
      <w:r w:rsidRPr="00AB66F3">
        <w:rPr>
          <w:color w:val="000000"/>
        </w:rPr>
        <w:t xml:space="preserve">area of </w:t>
      </w:r>
      <w:r w:rsidR="00AB66F3" w:rsidRPr="00AB66F3">
        <w:rPr>
          <w:color w:val="000000"/>
        </w:rPr>
        <w:t>application</w:t>
      </w:r>
      <w:r w:rsidRPr="00AB66F3">
        <w:rPr>
          <w:color w:val="000000"/>
        </w:rPr>
        <w:t xml:space="preserve"> </w:t>
      </w:r>
      <w:r w:rsidR="00647A64">
        <w:rPr>
          <w:color w:val="000000"/>
        </w:rPr>
        <w:t xml:space="preserve">of SCL </w:t>
      </w:r>
      <w:r w:rsidRPr="00AB66F3">
        <w:rPr>
          <w:color w:val="000000"/>
        </w:rPr>
        <w:t xml:space="preserve">refers to student (and teacher) support, guidance and </w:t>
      </w:r>
      <w:r w:rsidR="00AB66F3" w:rsidRPr="00AB66F3">
        <w:rPr>
          <w:color w:val="000000"/>
        </w:rPr>
        <w:t xml:space="preserve">availability of </w:t>
      </w:r>
      <w:r w:rsidRPr="00AB66F3">
        <w:rPr>
          <w:color w:val="000000"/>
        </w:rPr>
        <w:t xml:space="preserve">learning (and professional development) resources. </w:t>
      </w:r>
      <w:r w:rsidR="00AB66F3">
        <w:rPr>
          <w:color w:val="000000"/>
        </w:rPr>
        <w:t>As</w:t>
      </w:r>
      <w:r w:rsidR="00AB66F3" w:rsidRPr="00AB66F3">
        <w:rPr>
          <w:color w:val="000000"/>
        </w:rPr>
        <w:t xml:space="preserve"> ESG </w:t>
      </w:r>
      <w:r w:rsidR="00AB66F3">
        <w:rPr>
          <w:color w:val="000000"/>
        </w:rPr>
        <w:t>(2015</w:t>
      </w:r>
      <w:r w:rsidR="00176F7D">
        <w:rPr>
          <w:color w:val="000000"/>
        </w:rPr>
        <w:t>, 1.6</w:t>
      </w:r>
      <w:r w:rsidR="00AB66F3">
        <w:rPr>
          <w:color w:val="000000"/>
        </w:rPr>
        <w:t xml:space="preserve">) stipulate </w:t>
      </w:r>
      <w:r w:rsidR="00176F7D" w:rsidRPr="00023232">
        <w:t xml:space="preserve">that SCL </w:t>
      </w:r>
      <w:r w:rsidR="00176F7D">
        <w:t xml:space="preserve">needs to be considered </w:t>
      </w:r>
      <w:r w:rsidR="00176F7D" w:rsidRPr="00023232">
        <w:t>when allocating, planning and providing the learning resources and student support.</w:t>
      </w:r>
      <w:r w:rsidR="00176F7D">
        <w:t xml:space="preserve"> Finally, SCL is applied in the area of </w:t>
      </w:r>
      <w:r w:rsidR="00647A64">
        <w:t xml:space="preserve">student involvement in institutional decision-making, in particular in the areas of quality assurance and curriculum design. </w:t>
      </w:r>
      <w:r w:rsidR="00647A64" w:rsidRPr="00AA1C1B">
        <w:t xml:space="preserve">In the </w:t>
      </w:r>
      <w:r w:rsidR="00647A64">
        <w:t>c</w:t>
      </w:r>
      <w:r w:rsidR="00647A64" w:rsidRPr="00AA1C1B">
        <w:t>ommuniqués, student involvement in higher education governance at all levels as well as in internal and external quality assurance procedures and bodies has been regularly mentioned (Prague Communiqué, 2001; Berlin Communiqué, 2003; London Communiqué, 2007; Bucharest, 2012; Yerevan, 2016; ESG, 2005; 2009; 2015) (f</w:t>
      </w:r>
      <w:r w:rsidR="00B3287A">
        <w:t>or overview see Klemenčič, 2012</w:t>
      </w:r>
      <w:r w:rsidR="00647A64" w:rsidRPr="00AA1C1B">
        <w:t>).</w:t>
      </w:r>
      <w:r w:rsidR="00647A64">
        <w:t xml:space="preserve"> </w:t>
      </w:r>
      <w:r w:rsidR="00647A64" w:rsidRPr="00AA1C1B">
        <w:t xml:space="preserve">The ECTS Guide is very specific in instructing that </w:t>
      </w:r>
      <w:r w:rsidR="00647A64" w:rsidRPr="00AA1C1B">
        <w:rPr>
          <w:i/>
        </w:rPr>
        <w:t xml:space="preserve">‘all stakeholders should be involved in constructive discussion of program design and </w:t>
      </w:r>
      <w:r w:rsidR="00647A64" w:rsidRPr="00AA1C1B">
        <w:rPr>
          <w:i/>
        </w:rPr>
        <w:lastRenderedPageBreak/>
        <w:t>delivery’ and that ‘student representatives should participate in such discussions with full voting powers</w:t>
      </w:r>
      <w:r w:rsidR="00647A64" w:rsidRPr="00AA1C1B">
        <w:t>’ (European Union, 2015, 26).</w:t>
      </w:r>
      <w:r w:rsidR="00647A64">
        <w:t xml:space="preserve"> Students are also expected to</w:t>
      </w:r>
      <w:r w:rsidR="00CB0347" w:rsidRPr="00AA1C1B">
        <w:t xml:space="preserve"> be involved in the design and periodic review and revision of study </w:t>
      </w:r>
      <w:r w:rsidR="00647A64">
        <w:t xml:space="preserve">programs (ESG, 2015, 1.2 &amp; 1.9), and </w:t>
      </w:r>
      <w:r w:rsidR="00647A64" w:rsidRPr="00AA1C1B">
        <w:t xml:space="preserve">participate in designing and continuous improvement of quality assurance </w:t>
      </w:r>
      <w:r w:rsidR="00647A64" w:rsidRPr="00E31ABB">
        <w:t>methodologies</w:t>
      </w:r>
      <w:r w:rsidR="00CB0347" w:rsidRPr="00E31ABB">
        <w:t xml:space="preserve"> </w:t>
      </w:r>
      <w:r w:rsidR="00647A64" w:rsidRPr="00E31ABB">
        <w:t xml:space="preserve">(ESG, </w:t>
      </w:r>
      <w:r w:rsidR="001E3434" w:rsidRPr="00E31ABB">
        <w:t>2015</w:t>
      </w:r>
      <w:r w:rsidR="00755E3C" w:rsidRPr="00E31ABB">
        <w:t>, Part 3</w:t>
      </w:r>
      <w:r w:rsidR="00647A64" w:rsidRPr="00E31ABB">
        <w:t>).</w:t>
      </w:r>
      <w:r w:rsidR="001E3434" w:rsidRPr="00E31ABB">
        <w:t xml:space="preserve"> </w:t>
      </w:r>
    </w:p>
    <w:p w14:paraId="34D4004E" w14:textId="605A76F0" w:rsidR="008B3551" w:rsidRPr="00E31ABB" w:rsidRDefault="00647A64" w:rsidP="005A31D6">
      <w:pPr>
        <w:spacing w:after="120" w:line="288" w:lineRule="auto"/>
        <w:jc w:val="both"/>
        <w:rPr>
          <w:color w:val="000000"/>
        </w:rPr>
      </w:pPr>
      <w:r w:rsidRPr="00E31ABB">
        <w:rPr>
          <w:color w:val="000000"/>
        </w:rPr>
        <w:t>As a lever supporting learning systems within higher education institutions, SCL is seen to bring about</w:t>
      </w:r>
      <w:r w:rsidR="00413E5E" w:rsidRPr="00E31ABB">
        <w:rPr>
          <w:color w:val="000000"/>
        </w:rPr>
        <w:t xml:space="preserve"> more personalized (</w:t>
      </w:r>
      <w:r w:rsidR="00AA1C1B" w:rsidRPr="00E31ABB">
        <w:rPr>
          <w:color w:val="000000"/>
        </w:rPr>
        <w:t>‘</w:t>
      </w:r>
      <w:r w:rsidR="00413E5E" w:rsidRPr="00E31ABB">
        <w:rPr>
          <w:color w:val="000000"/>
        </w:rPr>
        <w:t>allowing for student choice and relevance to the individual</w:t>
      </w:r>
      <w:r w:rsidR="00AA1C1B" w:rsidRPr="00E31ABB">
        <w:rPr>
          <w:color w:val="000000"/>
        </w:rPr>
        <w:t xml:space="preserve"> s</w:t>
      </w:r>
      <w:r w:rsidR="00413E5E" w:rsidRPr="00E31ABB">
        <w:rPr>
          <w:color w:val="000000"/>
        </w:rPr>
        <w:t>tudent</w:t>
      </w:r>
      <w:r w:rsidR="00AA1C1B" w:rsidRPr="00E31ABB">
        <w:rPr>
          <w:color w:val="000000"/>
        </w:rPr>
        <w:t>’</w:t>
      </w:r>
      <w:r w:rsidR="00413E5E" w:rsidRPr="00E31ABB">
        <w:rPr>
          <w:color w:val="000000"/>
        </w:rPr>
        <w:t xml:space="preserve">) and </w:t>
      </w:r>
      <w:r w:rsidR="00AA1C1B" w:rsidRPr="00E31ABB">
        <w:rPr>
          <w:color w:val="000000"/>
        </w:rPr>
        <w:t>individualized</w:t>
      </w:r>
      <w:r w:rsidR="00413E5E" w:rsidRPr="00E31ABB">
        <w:rPr>
          <w:color w:val="000000"/>
        </w:rPr>
        <w:t xml:space="preserve"> (</w:t>
      </w:r>
      <w:r w:rsidR="00AA1C1B" w:rsidRPr="00E31ABB">
        <w:rPr>
          <w:color w:val="000000"/>
        </w:rPr>
        <w:t>‘</w:t>
      </w:r>
      <w:r w:rsidR="00413E5E" w:rsidRPr="00E31ABB">
        <w:rPr>
          <w:color w:val="000000"/>
        </w:rPr>
        <w:t>allowing students to work at their</w:t>
      </w:r>
      <w:r w:rsidR="00AA1C1B" w:rsidRPr="00E31ABB">
        <w:t xml:space="preserve"> </w:t>
      </w:r>
      <w:r w:rsidR="00413E5E" w:rsidRPr="00E31ABB">
        <w:rPr>
          <w:color w:val="000000"/>
        </w:rPr>
        <w:t>own pace and according to their particular learning needs</w:t>
      </w:r>
      <w:r w:rsidR="00AA1C1B" w:rsidRPr="00E31ABB">
        <w:rPr>
          <w:color w:val="000000"/>
        </w:rPr>
        <w:t>’</w:t>
      </w:r>
      <w:r w:rsidR="00413E5E" w:rsidRPr="00E31ABB">
        <w:rPr>
          <w:color w:val="000000"/>
        </w:rPr>
        <w:t>)</w:t>
      </w:r>
      <w:r w:rsidR="00AA1C1B" w:rsidRPr="00E31ABB">
        <w:rPr>
          <w:color w:val="000000"/>
        </w:rPr>
        <w:t xml:space="preserve"> </w:t>
      </w:r>
      <w:r w:rsidRPr="00E31ABB">
        <w:rPr>
          <w:color w:val="000000"/>
        </w:rPr>
        <w:t>education</w:t>
      </w:r>
      <w:r w:rsidR="00AA1C1B" w:rsidRPr="00E31ABB">
        <w:rPr>
          <w:color w:val="000000"/>
        </w:rPr>
        <w:t xml:space="preserve"> (</w:t>
      </w:r>
      <w:proofErr w:type="spellStart"/>
      <w:r w:rsidR="00E55DF1" w:rsidRPr="00E31ABB">
        <w:rPr>
          <w:color w:val="000000"/>
        </w:rPr>
        <w:t>Langworthy</w:t>
      </w:r>
      <w:proofErr w:type="spellEnd"/>
      <w:r w:rsidR="00E55DF1" w:rsidRPr="00E31ABB">
        <w:rPr>
          <w:color w:val="000000"/>
        </w:rPr>
        <w:t>, Shear, &amp; Means</w:t>
      </w:r>
      <w:r w:rsidR="00AA1C1B" w:rsidRPr="00E31ABB">
        <w:rPr>
          <w:color w:val="000000"/>
        </w:rPr>
        <w:t>, 2010,</w:t>
      </w:r>
      <w:r w:rsidR="00413E5E" w:rsidRPr="00E31ABB">
        <w:rPr>
          <w:color w:val="000000"/>
        </w:rPr>
        <w:t xml:space="preserve"> 111-112)</w:t>
      </w:r>
      <w:r w:rsidR="00AA1C1B" w:rsidRPr="00E31ABB">
        <w:rPr>
          <w:color w:val="000000"/>
        </w:rPr>
        <w:t xml:space="preserve">. Furthermore, the policy documents not only grant students stronger agency in their own self-formation, but also in influencing </w:t>
      </w:r>
      <w:r w:rsidRPr="00E31ABB">
        <w:rPr>
          <w:color w:val="000000"/>
        </w:rPr>
        <w:t>learning</w:t>
      </w:r>
      <w:r w:rsidR="00AA1C1B" w:rsidRPr="00E31ABB">
        <w:rPr>
          <w:color w:val="000000"/>
        </w:rPr>
        <w:t xml:space="preserve"> system decisions that may only affect future generations (such as in </w:t>
      </w:r>
      <w:r w:rsidR="00831FF7" w:rsidRPr="00E31ABB">
        <w:rPr>
          <w:color w:val="000000"/>
        </w:rPr>
        <w:t>curriculum</w:t>
      </w:r>
      <w:r w:rsidR="00AA1C1B" w:rsidRPr="00E31ABB">
        <w:rPr>
          <w:color w:val="000000"/>
        </w:rPr>
        <w:t xml:space="preserve"> development). Student agency indeed appears a conceptual foundation of SCL as conceived in the EHEA policy documents.</w:t>
      </w:r>
    </w:p>
    <w:p w14:paraId="6116358F" w14:textId="77777777" w:rsidR="00177727" w:rsidRDefault="00177727" w:rsidP="00177727">
      <w:pPr>
        <w:widowControl w:val="0"/>
        <w:autoSpaceDE w:val="0"/>
        <w:autoSpaceDN w:val="0"/>
        <w:adjustRightInd w:val="0"/>
        <w:rPr>
          <w:color w:val="FFFFFF"/>
          <w:sz w:val="19"/>
          <w:szCs w:val="19"/>
        </w:rPr>
      </w:pPr>
      <w:r>
        <w:rPr>
          <w:color w:val="FFFFFF"/>
          <w:sz w:val="19"/>
          <w:szCs w:val="19"/>
        </w:rPr>
        <w:t>Teaching</w:t>
      </w:r>
    </w:p>
    <w:p w14:paraId="4E432218" w14:textId="1DF9B992" w:rsidR="006A7C96" w:rsidRPr="00176F7D" w:rsidRDefault="006A7C96" w:rsidP="00176F7D">
      <w:pPr>
        <w:pStyle w:val="Heading1"/>
        <w:rPr>
          <w:color w:val="FFFFFF"/>
          <w:sz w:val="19"/>
          <w:szCs w:val="19"/>
        </w:rPr>
      </w:pPr>
      <w:r w:rsidRPr="00AA1C1B">
        <w:t xml:space="preserve">Conceptual underpinnings of SCL: student engagement or student agency? </w:t>
      </w:r>
    </w:p>
    <w:p w14:paraId="2335F74A" w14:textId="77777777" w:rsidR="008833E6" w:rsidRDefault="00AA1C1B" w:rsidP="008833E6">
      <w:pPr>
        <w:pStyle w:val="Default"/>
        <w:spacing w:line="288" w:lineRule="auto"/>
        <w:jc w:val="both"/>
        <w:rPr>
          <w:rFonts w:ascii="Times New Roman" w:hAnsi="Times New Roman" w:cs="Times New Roman"/>
        </w:rPr>
      </w:pPr>
      <w:r w:rsidRPr="008833E6">
        <w:rPr>
          <w:rFonts w:ascii="Times New Roman" w:hAnsi="Times New Roman" w:cs="Times New Roman"/>
        </w:rPr>
        <w:t xml:space="preserve">In the United Kingdom and Ireland, which </w:t>
      </w:r>
      <w:r w:rsidR="008833E6" w:rsidRPr="008833E6">
        <w:rPr>
          <w:rFonts w:ascii="Times New Roman" w:hAnsi="Times New Roman" w:cs="Times New Roman"/>
        </w:rPr>
        <w:t xml:space="preserve">in Europe </w:t>
      </w:r>
      <w:r w:rsidRPr="008833E6">
        <w:rPr>
          <w:rFonts w:ascii="Times New Roman" w:hAnsi="Times New Roman" w:cs="Times New Roman"/>
        </w:rPr>
        <w:t xml:space="preserve">have most developed policies and institutional practices </w:t>
      </w:r>
      <w:r w:rsidR="008833E6" w:rsidRPr="008833E6">
        <w:rPr>
          <w:rFonts w:ascii="Times New Roman" w:hAnsi="Times New Roman" w:cs="Times New Roman"/>
        </w:rPr>
        <w:t>in</w:t>
      </w:r>
      <w:r w:rsidRPr="008833E6">
        <w:rPr>
          <w:rFonts w:ascii="Times New Roman" w:hAnsi="Times New Roman" w:cs="Times New Roman"/>
        </w:rPr>
        <w:t xml:space="preserve"> SCL, SCL is explicitly linked to student engagement.  </w:t>
      </w:r>
      <w:r w:rsidR="000546BD" w:rsidRPr="008833E6">
        <w:rPr>
          <w:rFonts w:ascii="Times New Roman" w:hAnsi="Times New Roman" w:cs="Times New Roman"/>
        </w:rPr>
        <w:t xml:space="preserve">Initiatives such as RAISE – Researching, Advancing, and Inspiring Student Engagement </w:t>
      </w:r>
      <w:r w:rsidR="00E55DF1" w:rsidRPr="008833E6">
        <w:rPr>
          <w:rFonts w:ascii="Times New Roman" w:hAnsi="Times New Roman" w:cs="Times New Roman"/>
        </w:rPr>
        <w:t>and new journals, such as Student Engagement in Higher Education</w:t>
      </w:r>
      <w:r w:rsidR="005A31D6" w:rsidRPr="008833E6">
        <w:rPr>
          <w:rFonts w:ascii="Times New Roman" w:hAnsi="Times New Roman" w:cs="Times New Roman"/>
        </w:rPr>
        <w:t>,</w:t>
      </w:r>
      <w:r w:rsidR="00E55DF1" w:rsidRPr="008833E6">
        <w:rPr>
          <w:rFonts w:ascii="Times New Roman" w:hAnsi="Times New Roman" w:cs="Times New Roman"/>
        </w:rPr>
        <w:t xml:space="preserve"> have sprung up to help implement the policies, which see</w:t>
      </w:r>
      <w:r w:rsidR="008833E6" w:rsidRPr="008833E6">
        <w:rPr>
          <w:rFonts w:ascii="Times New Roman" w:hAnsi="Times New Roman" w:cs="Times New Roman"/>
        </w:rPr>
        <w:t>k</w:t>
      </w:r>
      <w:r w:rsidR="00E55DF1" w:rsidRPr="008833E6">
        <w:rPr>
          <w:rFonts w:ascii="Times New Roman" w:hAnsi="Times New Roman" w:cs="Times New Roman"/>
        </w:rPr>
        <w:t xml:space="preserve"> to place ‘students at the hearth of the system’ (UK, 2011).  </w:t>
      </w:r>
      <w:r w:rsidR="005A31D6" w:rsidRPr="008833E6">
        <w:rPr>
          <w:rFonts w:ascii="Times New Roman" w:hAnsi="Times New Roman" w:cs="Times New Roman"/>
        </w:rPr>
        <w:t>This</w:t>
      </w:r>
      <w:r w:rsidR="003A4DE9" w:rsidRPr="008833E6">
        <w:rPr>
          <w:rFonts w:ascii="Times New Roman" w:hAnsi="Times New Roman" w:cs="Times New Roman"/>
        </w:rPr>
        <w:t xml:space="preserve"> conceptual link</w:t>
      </w:r>
      <w:r w:rsidR="005A31D6" w:rsidRPr="008833E6">
        <w:rPr>
          <w:rFonts w:ascii="Times New Roman" w:hAnsi="Times New Roman" w:cs="Times New Roman"/>
        </w:rPr>
        <w:t xml:space="preserve"> between SCL and student engagement</w:t>
      </w:r>
      <w:r w:rsidR="003A4DE9" w:rsidRPr="008833E6">
        <w:rPr>
          <w:rFonts w:ascii="Times New Roman" w:hAnsi="Times New Roman" w:cs="Times New Roman"/>
        </w:rPr>
        <w:t xml:space="preserve"> is likely to be transposed to other European countries which are at earli</w:t>
      </w:r>
      <w:r w:rsidR="005A31D6" w:rsidRPr="008833E6">
        <w:rPr>
          <w:rFonts w:ascii="Times New Roman" w:hAnsi="Times New Roman" w:cs="Times New Roman"/>
        </w:rPr>
        <w:t>er stages of development of SCL</w:t>
      </w:r>
      <w:r w:rsidR="003A4DE9" w:rsidRPr="008833E6">
        <w:rPr>
          <w:rFonts w:ascii="Times New Roman" w:hAnsi="Times New Roman" w:cs="Times New Roman"/>
        </w:rPr>
        <w:t xml:space="preserve">. </w:t>
      </w:r>
      <w:r w:rsidR="005A31D6" w:rsidRPr="008833E6">
        <w:rPr>
          <w:rFonts w:ascii="Times New Roman" w:hAnsi="Times New Roman" w:cs="Times New Roman"/>
        </w:rPr>
        <w:t>S</w:t>
      </w:r>
      <w:r w:rsidR="001E198C" w:rsidRPr="008833E6">
        <w:rPr>
          <w:rFonts w:ascii="Times New Roman" w:hAnsi="Times New Roman" w:cs="Times New Roman"/>
        </w:rPr>
        <w:t xml:space="preserve">tudent engagement </w:t>
      </w:r>
      <w:r w:rsidR="008833E6" w:rsidRPr="008833E6">
        <w:rPr>
          <w:rFonts w:ascii="Times New Roman" w:hAnsi="Times New Roman" w:cs="Times New Roman"/>
        </w:rPr>
        <w:t xml:space="preserve">like SCL are uncontroversial </w:t>
      </w:r>
      <w:r w:rsidR="005A31D6" w:rsidRPr="008833E6">
        <w:rPr>
          <w:rFonts w:ascii="Times New Roman" w:hAnsi="Times New Roman" w:cs="Times New Roman"/>
        </w:rPr>
        <w:t xml:space="preserve">policy </w:t>
      </w:r>
      <w:r w:rsidR="001E198C" w:rsidRPr="008833E6">
        <w:rPr>
          <w:rFonts w:ascii="Times New Roman" w:hAnsi="Times New Roman" w:cs="Times New Roman"/>
        </w:rPr>
        <w:t>objective</w:t>
      </w:r>
      <w:r w:rsidR="008833E6" w:rsidRPr="008833E6">
        <w:rPr>
          <w:rFonts w:ascii="Times New Roman" w:hAnsi="Times New Roman" w:cs="Times New Roman"/>
        </w:rPr>
        <w:t>s</w:t>
      </w:r>
      <w:r w:rsidR="001E198C" w:rsidRPr="008833E6">
        <w:rPr>
          <w:rFonts w:ascii="Times New Roman" w:hAnsi="Times New Roman" w:cs="Times New Roman"/>
        </w:rPr>
        <w:t xml:space="preserve">. </w:t>
      </w:r>
      <w:r w:rsidR="008833E6" w:rsidRPr="008833E6">
        <w:rPr>
          <w:rFonts w:ascii="Times New Roman" w:hAnsi="Times New Roman" w:cs="Times New Roman"/>
        </w:rPr>
        <w:t>Both reflect</w:t>
      </w:r>
      <w:r w:rsidR="007E4A42" w:rsidRPr="008833E6">
        <w:rPr>
          <w:rFonts w:ascii="Times New Roman" w:hAnsi="Times New Roman" w:cs="Times New Roman"/>
        </w:rPr>
        <w:t xml:space="preserve"> the liberal values of modern (Western) societies according to which agentic individuals are central to social and economic progress (Meyer </w:t>
      </w:r>
      <w:r w:rsidR="004B1F57" w:rsidRPr="008833E6">
        <w:rPr>
          <w:rFonts w:ascii="Times New Roman" w:hAnsi="Times New Roman" w:cs="Times New Roman"/>
        </w:rPr>
        <w:t>&amp;</w:t>
      </w:r>
      <w:r w:rsidR="007E4A42" w:rsidRPr="008833E6">
        <w:rPr>
          <w:rFonts w:ascii="Times New Roman" w:hAnsi="Times New Roman" w:cs="Times New Roman"/>
        </w:rPr>
        <w:t xml:space="preserve"> </w:t>
      </w:r>
      <w:proofErr w:type="spellStart"/>
      <w:r w:rsidR="007E4A42" w:rsidRPr="008833E6">
        <w:rPr>
          <w:rFonts w:ascii="Times New Roman" w:hAnsi="Times New Roman" w:cs="Times New Roman"/>
        </w:rPr>
        <w:t>Jepperson</w:t>
      </w:r>
      <w:proofErr w:type="spellEnd"/>
      <w:r w:rsidR="007E4A42" w:rsidRPr="008833E6">
        <w:rPr>
          <w:rFonts w:ascii="Times New Roman" w:hAnsi="Times New Roman" w:cs="Times New Roman"/>
        </w:rPr>
        <w:t xml:space="preserve">, 2000). Political democracy, open market economies, cultural freedom are all built around choices and capabilities of empowered individuals (Bromley, Meyer, &amp; Ramirez, 2011). </w:t>
      </w:r>
      <w:r w:rsidR="008833E6" w:rsidRPr="008833E6">
        <w:rPr>
          <w:rFonts w:ascii="Times New Roman" w:hAnsi="Times New Roman" w:cs="Times New Roman"/>
        </w:rPr>
        <w:t>H</w:t>
      </w:r>
      <w:r w:rsidR="007E4A42" w:rsidRPr="008833E6">
        <w:rPr>
          <w:rFonts w:ascii="Times New Roman" w:hAnsi="Times New Roman" w:cs="Times New Roman"/>
        </w:rPr>
        <w:t xml:space="preserve">igher education is expected to prepare students to become agentic individuals. </w:t>
      </w:r>
    </w:p>
    <w:p w14:paraId="423837CA" w14:textId="77777777" w:rsidR="008833E6" w:rsidRDefault="008833E6" w:rsidP="008833E6">
      <w:pPr>
        <w:pStyle w:val="Default"/>
        <w:spacing w:line="288" w:lineRule="auto"/>
        <w:jc w:val="both"/>
        <w:rPr>
          <w:rFonts w:ascii="Times New Roman" w:hAnsi="Times New Roman" w:cs="Times New Roman"/>
        </w:rPr>
      </w:pPr>
    </w:p>
    <w:p w14:paraId="4C8284DB" w14:textId="46087580" w:rsidR="00E31ABB" w:rsidRDefault="007E4A42" w:rsidP="00D902A2">
      <w:pPr>
        <w:pStyle w:val="Default"/>
        <w:spacing w:line="288" w:lineRule="auto"/>
        <w:jc w:val="both"/>
        <w:rPr>
          <w:rFonts w:ascii="Times New Roman" w:hAnsi="Times New Roman" w:cs="Times New Roman"/>
        </w:rPr>
      </w:pPr>
      <w:r w:rsidRPr="008833E6">
        <w:rPr>
          <w:rFonts w:ascii="Times New Roman" w:hAnsi="Times New Roman" w:cs="Times New Roman"/>
        </w:rPr>
        <w:t xml:space="preserve">If, as Hall and Lamont (2009, 2) suggest, a “successful society” is “one that enhances the capabilities of people to pursue the goals important to their own lives, whether through individual or collective action”; then education which enables and strengthens student agency is both a condition of a successful society and also one of the outcomes of it (Klemenčič, 2015a). Metaphors evoked in political discourse of liberal education frequently include </w:t>
      </w:r>
      <w:r w:rsidR="008833E6" w:rsidRPr="008833E6">
        <w:rPr>
          <w:rFonts w:ascii="Times New Roman" w:hAnsi="Times New Roman" w:cs="Times New Roman"/>
        </w:rPr>
        <w:t xml:space="preserve">references to </w:t>
      </w:r>
      <w:r w:rsidRPr="008833E6">
        <w:rPr>
          <w:rFonts w:ascii="Times New Roman" w:hAnsi="Times New Roman" w:cs="Times New Roman"/>
        </w:rPr>
        <w:t xml:space="preserve">individuals’ dispositions to pursue </w:t>
      </w:r>
      <w:r w:rsidR="008833E6" w:rsidRPr="008833E6">
        <w:rPr>
          <w:rFonts w:ascii="Times New Roman" w:hAnsi="Times New Roman" w:cs="Times New Roman"/>
        </w:rPr>
        <w:t xml:space="preserve">goals important to their lives, </w:t>
      </w:r>
      <w:r w:rsidRPr="008833E6">
        <w:rPr>
          <w:rFonts w:ascii="Times New Roman" w:hAnsi="Times New Roman" w:cs="Times New Roman"/>
        </w:rPr>
        <w:t xml:space="preserve">such as motivation, intentionality, </w:t>
      </w:r>
      <w:r w:rsidR="008833E6" w:rsidRPr="008833E6">
        <w:rPr>
          <w:rFonts w:ascii="Times New Roman" w:hAnsi="Times New Roman" w:cs="Times New Roman"/>
        </w:rPr>
        <w:t>and purposiveness. Furthermore, references are made to autonomy, choice, and freedom</w:t>
      </w:r>
      <w:r w:rsidR="00E31ABB">
        <w:rPr>
          <w:rFonts w:ascii="Times New Roman" w:hAnsi="Times New Roman" w:cs="Times New Roman"/>
        </w:rPr>
        <w:t>s</w:t>
      </w:r>
      <w:r w:rsidR="008833E6" w:rsidRPr="008833E6">
        <w:rPr>
          <w:rFonts w:ascii="Times New Roman" w:hAnsi="Times New Roman" w:cs="Times New Roman"/>
        </w:rPr>
        <w:t xml:space="preserve">, </w:t>
      </w:r>
      <w:r w:rsidRPr="008833E6">
        <w:rPr>
          <w:rFonts w:ascii="Times New Roman" w:hAnsi="Times New Roman" w:cs="Times New Roman"/>
        </w:rPr>
        <w:t xml:space="preserve">which refer to conditions that enable individuals to enact their agency. </w:t>
      </w:r>
      <w:r w:rsidR="008833E6" w:rsidRPr="008833E6">
        <w:rPr>
          <w:rFonts w:ascii="Times New Roman" w:hAnsi="Times New Roman" w:cs="Times New Roman"/>
        </w:rPr>
        <w:t>W</w:t>
      </w:r>
      <w:r w:rsidRPr="008833E6">
        <w:rPr>
          <w:rFonts w:ascii="Times New Roman" w:hAnsi="Times New Roman" w:cs="Times New Roman"/>
        </w:rPr>
        <w:t xml:space="preserve">ithin liberal education model students have an array of rights and powers – both formal and symbolic – which enable them to enact their </w:t>
      </w:r>
      <w:r w:rsidRPr="008833E6">
        <w:rPr>
          <w:rFonts w:ascii="Times New Roman" w:hAnsi="Times New Roman" w:cs="Times New Roman"/>
        </w:rPr>
        <w:lastRenderedPageBreak/>
        <w:t>agency.</w:t>
      </w:r>
      <w:r w:rsidR="008833E6">
        <w:rPr>
          <w:rFonts w:ascii="Times New Roman" w:hAnsi="Times New Roman" w:cs="Times New Roman"/>
        </w:rPr>
        <w:t xml:space="preserve"> </w:t>
      </w:r>
      <w:r w:rsidRPr="008833E6">
        <w:rPr>
          <w:rFonts w:ascii="Times New Roman" w:hAnsi="Times New Roman" w:cs="Times New Roman"/>
        </w:rPr>
        <w:t xml:space="preserve">Finally, understanding students’ interests, preferences, capabilities, and choices is </w:t>
      </w:r>
      <w:r w:rsidR="008833E6">
        <w:rPr>
          <w:rFonts w:ascii="Times New Roman" w:hAnsi="Times New Roman" w:cs="Times New Roman"/>
        </w:rPr>
        <w:t xml:space="preserve">seen </w:t>
      </w:r>
      <w:r w:rsidRPr="008833E6">
        <w:rPr>
          <w:rFonts w:ascii="Times New Roman" w:hAnsi="Times New Roman" w:cs="Times New Roman"/>
        </w:rPr>
        <w:t>essential to cater for more student-</w:t>
      </w:r>
      <w:r w:rsidR="00E81212" w:rsidRPr="008833E6">
        <w:rPr>
          <w:rFonts w:ascii="Times New Roman" w:hAnsi="Times New Roman" w:cs="Times New Roman"/>
        </w:rPr>
        <w:t>centered</w:t>
      </w:r>
      <w:r w:rsidRPr="008833E6">
        <w:rPr>
          <w:rFonts w:ascii="Times New Roman" w:hAnsi="Times New Roman" w:cs="Times New Roman"/>
        </w:rPr>
        <w:t xml:space="preserve"> education provision; which is often also made synonymous with more </w:t>
      </w:r>
      <w:r w:rsidR="00E81212" w:rsidRPr="008833E6">
        <w:rPr>
          <w:rFonts w:ascii="Times New Roman" w:hAnsi="Times New Roman" w:cs="Times New Roman"/>
        </w:rPr>
        <w:t>personalized</w:t>
      </w:r>
      <w:r w:rsidRPr="008833E6">
        <w:rPr>
          <w:rFonts w:ascii="Times New Roman" w:hAnsi="Times New Roman" w:cs="Times New Roman"/>
        </w:rPr>
        <w:t xml:space="preserve"> and more </w:t>
      </w:r>
      <w:r w:rsidR="00E81212" w:rsidRPr="008833E6">
        <w:rPr>
          <w:rFonts w:ascii="Times New Roman" w:hAnsi="Times New Roman" w:cs="Times New Roman"/>
        </w:rPr>
        <w:t>individualized</w:t>
      </w:r>
      <w:r w:rsidRPr="008833E6">
        <w:rPr>
          <w:rFonts w:ascii="Times New Roman" w:hAnsi="Times New Roman" w:cs="Times New Roman"/>
        </w:rPr>
        <w:t xml:space="preserve"> </w:t>
      </w:r>
      <w:r w:rsidR="00E81212" w:rsidRPr="008833E6">
        <w:rPr>
          <w:rFonts w:ascii="Times New Roman" w:hAnsi="Times New Roman" w:cs="Times New Roman"/>
        </w:rPr>
        <w:t>education</w:t>
      </w:r>
      <w:r w:rsidRPr="008833E6">
        <w:rPr>
          <w:rFonts w:ascii="Times New Roman" w:hAnsi="Times New Roman" w:cs="Times New Roman"/>
        </w:rPr>
        <w:t>.</w:t>
      </w:r>
    </w:p>
    <w:p w14:paraId="128B6623" w14:textId="462F9D99" w:rsidR="00D902A2" w:rsidRDefault="007E4A42" w:rsidP="00D902A2">
      <w:pPr>
        <w:pStyle w:val="Default"/>
        <w:spacing w:line="288" w:lineRule="auto"/>
        <w:jc w:val="both"/>
        <w:rPr>
          <w:rFonts w:ascii="Times New Roman" w:hAnsi="Times New Roman" w:cs="Times New Roman"/>
        </w:rPr>
      </w:pPr>
      <w:r w:rsidRPr="008833E6">
        <w:rPr>
          <w:rFonts w:ascii="Times New Roman" w:hAnsi="Times New Roman" w:cs="Times New Roman"/>
        </w:rPr>
        <w:t xml:space="preserve"> </w:t>
      </w:r>
    </w:p>
    <w:p w14:paraId="610EA208" w14:textId="6A315E77" w:rsidR="00DA5C23" w:rsidRDefault="000D514C" w:rsidP="00D902A2">
      <w:pPr>
        <w:pStyle w:val="Default"/>
        <w:spacing w:line="288" w:lineRule="auto"/>
        <w:jc w:val="both"/>
        <w:rPr>
          <w:rFonts w:ascii="Times New Roman" w:hAnsi="Times New Roman" w:cs="Times New Roman"/>
          <w:bCs/>
          <w:iCs/>
        </w:rPr>
      </w:pPr>
      <w:r w:rsidRPr="00D902A2">
        <w:rPr>
          <w:rFonts w:ascii="Times New Roman" w:hAnsi="Times New Roman" w:cs="Times New Roman"/>
        </w:rPr>
        <w:t xml:space="preserve">Despite the ideological </w:t>
      </w:r>
      <w:r w:rsidR="008833E6" w:rsidRPr="00D902A2">
        <w:rPr>
          <w:rFonts w:ascii="Times New Roman" w:hAnsi="Times New Roman" w:cs="Times New Roman"/>
        </w:rPr>
        <w:t>congruence</w:t>
      </w:r>
      <w:r w:rsidRPr="00D902A2">
        <w:rPr>
          <w:rFonts w:ascii="Times New Roman" w:hAnsi="Times New Roman" w:cs="Times New Roman"/>
        </w:rPr>
        <w:t xml:space="preserve"> between student engagement and</w:t>
      </w:r>
      <w:r w:rsidR="008833E6" w:rsidRPr="00D902A2">
        <w:rPr>
          <w:rFonts w:ascii="Times New Roman" w:hAnsi="Times New Roman" w:cs="Times New Roman"/>
        </w:rPr>
        <w:t xml:space="preserve"> SCL within the frame of</w:t>
      </w:r>
      <w:r w:rsidRPr="00D902A2">
        <w:rPr>
          <w:rFonts w:ascii="Times New Roman" w:hAnsi="Times New Roman" w:cs="Times New Roman"/>
        </w:rPr>
        <w:t xml:space="preserve"> the liberal education philosophy, </w:t>
      </w:r>
      <w:r w:rsidR="008833E6" w:rsidRPr="00D902A2">
        <w:rPr>
          <w:rFonts w:ascii="Times New Roman" w:hAnsi="Times New Roman" w:cs="Times New Roman"/>
        </w:rPr>
        <w:t>student engagement does not appear perfectly suitable as a conceptual foundation of SCL</w:t>
      </w:r>
      <w:r w:rsidR="005A545E" w:rsidRPr="00D902A2">
        <w:rPr>
          <w:rFonts w:ascii="Times New Roman" w:hAnsi="Times New Roman" w:cs="Times New Roman"/>
        </w:rPr>
        <w:t>. Scholars have pointed to numerous problems with the meaning of student engagement and its conceptual viability describing it as a “messy” concept with many meanings (</w:t>
      </w:r>
      <w:r w:rsidRPr="00D902A2">
        <w:rPr>
          <w:rFonts w:ascii="Times New Roman" w:hAnsi="Times New Roman" w:cs="Times New Roman"/>
        </w:rPr>
        <w:t xml:space="preserve">Ashwin </w:t>
      </w:r>
      <w:r w:rsidR="005A545E" w:rsidRPr="00D902A2">
        <w:rPr>
          <w:rFonts w:ascii="Times New Roman" w:hAnsi="Times New Roman" w:cs="Times New Roman"/>
        </w:rPr>
        <w:t>&amp;</w:t>
      </w:r>
      <w:r w:rsidRPr="00D902A2">
        <w:rPr>
          <w:rFonts w:ascii="Times New Roman" w:hAnsi="Times New Roman" w:cs="Times New Roman"/>
        </w:rPr>
        <w:t xml:space="preserve"> </w:t>
      </w:r>
      <w:proofErr w:type="spellStart"/>
      <w:r w:rsidRPr="00D902A2">
        <w:rPr>
          <w:rFonts w:ascii="Times New Roman" w:hAnsi="Times New Roman" w:cs="Times New Roman"/>
        </w:rPr>
        <w:t>McWitty</w:t>
      </w:r>
      <w:proofErr w:type="spellEnd"/>
      <w:r w:rsidR="005A545E" w:rsidRPr="00D902A2">
        <w:rPr>
          <w:rFonts w:ascii="Times New Roman" w:hAnsi="Times New Roman" w:cs="Times New Roman"/>
        </w:rPr>
        <w:t xml:space="preserve">, </w:t>
      </w:r>
      <w:r w:rsidRPr="00D902A2">
        <w:rPr>
          <w:rFonts w:ascii="Times New Roman" w:hAnsi="Times New Roman" w:cs="Times New Roman"/>
        </w:rPr>
        <w:t>2015)</w:t>
      </w:r>
      <w:r w:rsidR="005A545E" w:rsidRPr="00D902A2">
        <w:rPr>
          <w:rFonts w:ascii="Times New Roman" w:hAnsi="Times New Roman" w:cs="Times New Roman"/>
        </w:rPr>
        <w:t>; subject to multiple interpretations (</w:t>
      </w:r>
      <w:proofErr w:type="spellStart"/>
      <w:r w:rsidR="005A545E" w:rsidRPr="00D902A2">
        <w:rPr>
          <w:rFonts w:ascii="Times New Roman" w:hAnsi="Times New Roman" w:cs="Times New Roman"/>
        </w:rPr>
        <w:t>Trowler</w:t>
      </w:r>
      <w:proofErr w:type="spellEnd"/>
      <w:r w:rsidR="005A545E" w:rsidRPr="00D902A2">
        <w:rPr>
          <w:rFonts w:ascii="Times New Roman" w:hAnsi="Times New Roman" w:cs="Times New Roman"/>
        </w:rPr>
        <w:t xml:space="preserve">, 2010) and weakly theorized (Kahn, 2014). </w:t>
      </w:r>
      <w:r w:rsidR="005A545E" w:rsidRPr="00FE2966">
        <w:rPr>
          <w:rFonts w:ascii="Times New Roman" w:hAnsi="Times New Roman" w:cs="Times New Roman"/>
        </w:rPr>
        <w:t xml:space="preserve">The special issue </w:t>
      </w:r>
      <w:r w:rsidR="005A545E" w:rsidRPr="00FE2966">
        <w:rPr>
          <w:rFonts w:ascii="Times New Roman" w:hAnsi="Times New Roman" w:cs="Times New Roman"/>
          <w:bCs/>
          <w:iCs/>
        </w:rPr>
        <w:t>Critical and Alternative Perspectives on Student Engagement (2017) further expounds on these propositions</w:t>
      </w:r>
      <w:r w:rsidR="00524839" w:rsidRPr="00FE2966">
        <w:rPr>
          <w:rFonts w:ascii="Times New Roman" w:hAnsi="Times New Roman" w:cs="Times New Roman"/>
          <w:bCs/>
          <w:iCs/>
        </w:rPr>
        <w:t xml:space="preserve"> (Macfarlane and Tomlinson, 2017).</w:t>
      </w:r>
      <w:r w:rsidR="005A545E" w:rsidRPr="00D902A2">
        <w:rPr>
          <w:rFonts w:ascii="Times New Roman" w:hAnsi="Times New Roman" w:cs="Times New Roman"/>
          <w:bCs/>
          <w:iCs/>
        </w:rPr>
        <w:t xml:space="preserve"> </w:t>
      </w:r>
      <w:r w:rsidR="00D902A2" w:rsidRPr="00D902A2">
        <w:rPr>
          <w:rFonts w:ascii="Times New Roman" w:hAnsi="Times New Roman" w:cs="Times New Roman"/>
          <w:bCs/>
          <w:iCs/>
        </w:rPr>
        <w:t xml:space="preserve">When it comes to suitability of student engagement to provide conceptual foundations for policy development of SCL further problems arise. The central problem lies in the focus of </w:t>
      </w:r>
      <w:r w:rsidR="00412DF8">
        <w:rPr>
          <w:rFonts w:ascii="Times New Roman" w:hAnsi="Times New Roman" w:cs="Times New Roman"/>
          <w:bCs/>
          <w:iCs/>
        </w:rPr>
        <w:t xml:space="preserve">student </w:t>
      </w:r>
      <w:r w:rsidR="00DA5C23">
        <w:rPr>
          <w:rFonts w:ascii="Times New Roman" w:hAnsi="Times New Roman" w:cs="Times New Roman"/>
          <w:bCs/>
          <w:iCs/>
        </w:rPr>
        <w:t>engagement</w:t>
      </w:r>
      <w:r w:rsidR="00D902A2" w:rsidRPr="00D902A2">
        <w:rPr>
          <w:rFonts w:ascii="Times New Roman" w:hAnsi="Times New Roman" w:cs="Times New Roman"/>
          <w:bCs/>
          <w:iCs/>
        </w:rPr>
        <w:t xml:space="preserve"> concept on behavioral patterns of students and propensity of students to particular behavior</w:t>
      </w:r>
      <w:r w:rsidR="00412DF8">
        <w:rPr>
          <w:rFonts w:ascii="Times New Roman" w:hAnsi="Times New Roman" w:cs="Times New Roman"/>
          <w:bCs/>
          <w:iCs/>
        </w:rPr>
        <w:t xml:space="preserve"> rather than student capabilities which are central to SCL</w:t>
      </w:r>
      <w:r w:rsidR="00D902A2" w:rsidRPr="00D902A2">
        <w:rPr>
          <w:rFonts w:ascii="Times New Roman" w:hAnsi="Times New Roman" w:cs="Times New Roman"/>
          <w:bCs/>
          <w:iCs/>
        </w:rPr>
        <w:t xml:space="preserve">. </w:t>
      </w:r>
    </w:p>
    <w:p w14:paraId="664831DE" w14:textId="77777777" w:rsidR="00DA5C23" w:rsidRDefault="00DA5C23" w:rsidP="00D902A2">
      <w:pPr>
        <w:pStyle w:val="Default"/>
        <w:spacing w:line="288" w:lineRule="auto"/>
        <w:jc w:val="both"/>
        <w:rPr>
          <w:rFonts w:ascii="Times New Roman" w:hAnsi="Times New Roman" w:cs="Times New Roman"/>
          <w:bCs/>
          <w:iCs/>
        </w:rPr>
      </w:pPr>
    </w:p>
    <w:p w14:paraId="4834E338" w14:textId="77777777" w:rsidR="00893AA6" w:rsidRDefault="00D902A2" w:rsidP="00893AA6">
      <w:pPr>
        <w:pStyle w:val="Default"/>
        <w:spacing w:line="288" w:lineRule="auto"/>
        <w:jc w:val="both"/>
        <w:rPr>
          <w:rFonts w:ascii="Times New Roman" w:hAnsi="Times New Roman" w:cs="Times New Roman"/>
          <w:bCs/>
          <w:iCs/>
        </w:rPr>
      </w:pPr>
      <w:r w:rsidRPr="00D902A2">
        <w:rPr>
          <w:rFonts w:ascii="Times New Roman" w:hAnsi="Times New Roman" w:cs="Times New Roman"/>
          <w:bCs/>
          <w:iCs/>
        </w:rPr>
        <w:t xml:space="preserve">Student engagement surveys </w:t>
      </w:r>
      <w:r w:rsidRPr="00D902A2">
        <w:rPr>
          <w:rFonts w:ascii="Times New Roman" w:eastAsia="Times New Roman" w:hAnsi="Times New Roman" w:cs="Times New Roman"/>
          <w:lang w:eastAsia="en-GB"/>
        </w:rPr>
        <w:t xml:space="preserve">are designed to measure the extent to which students participate in educationally-purposeful activities (i.e. those that are </w:t>
      </w:r>
      <w:r w:rsidR="00DA5C23">
        <w:rPr>
          <w:rFonts w:ascii="Times New Roman" w:eastAsia="Times New Roman" w:hAnsi="Times New Roman" w:cs="Times New Roman"/>
          <w:lang w:eastAsia="en-GB"/>
        </w:rPr>
        <w:t>believed by the surveys designers</w:t>
      </w:r>
      <w:r w:rsidRPr="00D902A2">
        <w:rPr>
          <w:rFonts w:ascii="Times New Roman" w:eastAsia="Times New Roman" w:hAnsi="Times New Roman" w:cs="Times New Roman"/>
          <w:lang w:eastAsia="en-GB"/>
        </w:rPr>
        <w:t xml:space="preserve"> to enhance learning and development), and the support they receive from teachers and institutions to do so (</w:t>
      </w:r>
      <w:proofErr w:type="spellStart"/>
      <w:r w:rsidRPr="00D902A2">
        <w:rPr>
          <w:rFonts w:ascii="Times New Roman" w:eastAsia="Times New Roman" w:hAnsi="Times New Roman" w:cs="Times New Roman"/>
          <w:lang w:eastAsia="en-GB"/>
        </w:rPr>
        <w:t>Kuh</w:t>
      </w:r>
      <w:proofErr w:type="spellEnd"/>
      <w:r w:rsidRPr="00D902A2">
        <w:rPr>
          <w:rFonts w:ascii="Times New Roman" w:eastAsia="Times New Roman" w:hAnsi="Times New Roman" w:cs="Times New Roman"/>
          <w:lang w:eastAsia="en-GB"/>
        </w:rPr>
        <w:t xml:space="preserve">, 2001; Klemenčič &amp; </w:t>
      </w:r>
      <w:proofErr w:type="spellStart"/>
      <w:r w:rsidRPr="00D902A2">
        <w:rPr>
          <w:rFonts w:ascii="Times New Roman" w:eastAsia="Times New Roman" w:hAnsi="Times New Roman" w:cs="Times New Roman"/>
          <w:lang w:eastAsia="en-GB"/>
        </w:rPr>
        <w:t>Chirikov</w:t>
      </w:r>
      <w:proofErr w:type="spellEnd"/>
      <w:r w:rsidRPr="00D902A2">
        <w:rPr>
          <w:rFonts w:ascii="Times New Roman" w:eastAsia="Times New Roman" w:hAnsi="Times New Roman" w:cs="Times New Roman"/>
          <w:lang w:eastAsia="en-GB"/>
        </w:rPr>
        <w:t>, 2015).</w:t>
      </w:r>
      <w:r w:rsidRPr="00D902A2">
        <w:rPr>
          <w:rFonts w:ascii="Times New Roman" w:hAnsi="Times New Roman" w:cs="Times New Roman"/>
          <w:bCs/>
          <w:iCs/>
        </w:rPr>
        <w:t xml:space="preserve"> </w:t>
      </w:r>
      <w:r w:rsidR="00412DF8">
        <w:rPr>
          <w:rFonts w:ascii="Times New Roman" w:hAnsi="Times New Roman" w:cs="Times New Roman"/>
          <w:bCs/>
          <w:iCs/>
        </w:rPr>
        <w:t xml:space="preserve">The typical questions in student engagement survey ask about frequency of certain behaviors during the academic year. For example: During this academic year, how often have you done each of the following: Contributed to class discussion? Asked an insightful question? Taken a small research-oriented seminar with faculty? Communicated with a faculty member by e-mail, texting, or in person? Interacted with faculty during class session? </w:t>
      </w:r>
      <w:r w:rsidR="00DA5C23">
        <w:rPr>
          <w:rFonts w:ascii="Times New Roman" w:hAnsi="Times New Roman" w:cs="Times New Roman"/>
          <w:bCs/>
          <w:iCs/>
        </w:rPr>
        <w:t>Turned in a course assignment late? Gone to class unprepared? The</w:t>
      </w:r>
      <w:r w:rsidR="007B07C4">
        <w:rPr>
          <w:rFonts w:ascii="Times New Roman" w:hAnsi="Times New Roman" w:cs="Times New Roman"/>
          <w:bCs/>
          <w:iCs/>
        </w:rPr>
        <w:t>y</w:t>
      </w:r>
      <w:r w:rsidR="00DA5C23">
        <w:rPr>
          <w:rFonts w:ascii="Times New Roman" w:hAnsi="Times New Roman" w:cs="Times New Roman"/>
          <w:bCs/>
          <w:iCs/>
        </w:rPr>
        <w:t xml:space="preserve"> ask also about how much assigned reading the student has completed on average and how many hours in a typical week students spends on different activities. A number of questions are devoted to students self-reporting their learning outcomes by rating proficiency in various areas (such as analytical and critical thinking skills) at the beginning of the studies and at the time of the survey. Then there are also questions regarding satisfaction with various aspects of academic and social experience. Some surveys also ask about students’ goals and aspirations after undergraduate education.  </w:t>
      </w:r>
    </w:p>
    <w:p w14:paraId="35CE7EB5" w14:textId="77777777" w:rsidR="00893AA6" w:rsidRDefault="00893AA6" w:rsidP="00893AA6">
      <w:pPr>
        <w:pStyle w:val="Default"/>
        <w:spacing w:line="288" w:lineRule="auto"/>
        <w:jc w:val="both"/>
        <w:rPr>
          <w:rFonts w:ascii="Times New Roman" w:hAnsi="Times New Roman" w:cs="Times New Roman"/>
          <w:bCs/>
          <w:iCs/>
        </w:rPr>
      </w:pPr>
    </w:p>
    <w:p w14:paraId="5DB231A2" w14:textId="77777777" w:rsidR="005E13A2" w:rsidRDefault="00524839" w:rsidP="005E13A2">
      <w:pPr>
        <w:pStyle w:val="Default"/>
        <w:spacing w:line="288" w:lineRule="auto"/>
        <w:jc w:val="both"/>
        <w:rPr>
          <w:rFonts w:ascii="Times New Roman" w:hAnsi="Times New Roman" w:cs="Times New Roman"/>
        </w:rPr>
      </w:pPr>
      <w:r w:rsidRPr="005E13A2">
        <w:rPr>
          <w:rFonts w:ascii="Times New Roman" w:hAnsi="Times New Roman" w:cs="Times New Roman"/>
          <w:bCs/>
          <w:iCs/>
        </w:rPr>
        <w:t>Taking aside the methodological weaknesses of the accuracy of the students’ self-reported behavioral patterns over a significant period of time and self-reported learning gains</w:t>
      </w:r>
      <w:r w:rsidRPr="005E13A2">
        <w:rPr>
          <w:rFonts w:ascii="Times New Roman" w:eastAsia="Times New Roman" w:hAnsi="Times New Roman" w:cs="Times New Roman"/>
          <w:lang w:eastAsia="en-GB"/>
        </w:rPr>
        <w:t xml:space="preserve">, the selection of standards of educational practice </w:t>
      </w:r>
      <w:r w:rsidR="007B07C4" w:rsidRPr="005E13A2">
        <w:rPr>
          <w:rFonts w:ascii="Times New Roman" w:eastAsia="Times New Roman" w:hAnsi="Times New Roman" w:cs="Times New Roman"/>
          <w:lang w:eastAsia="en-GB"/>
        </w:rPr>
        <w:t xml:space="preserve">and student behavior </w:t>
      </w:r>
      <w:r w:rsidRPr="005E13A2">
        <w:rPr>
          <w:rFonts w:ascii="Times New Roman" w:eastAsia="Times New Roman" w:hAnsi="Times New Roman" w:cs="Times New Roman"/>
          <w:lang w:eastAsia="en-GB"/>
        </w:rPr>
        <w:t>that are expected to contribute to student learning are also questionable</w:t>
      </w:r>
      <w:r w:rsidR="007B07C4" w:rsidRPr="005E13A2">
        <w:rPr>
          <w:rFonts w:ascii="Times New Roman" w:eastAsia="Times New Roman" w:hAnsi="Times New Roman" w:cs="Times New Roman"/>
          <w:lang w:eastAsia="en-GB"/>
        </w:rPr>
        <w:t xml:space="preserve"> </w:t>
      </w:r>
      <w:r w:rsidR="007B07C4" w:rsidRPr="005E13A2">
        <w:rPr>
          <w:rFonts w:ascii="Times New Roman" w:hAnsi="Times New Roman" w:cs="Times New Roman"/>
          <w:bCs/>
          <w:iCs/>
        </w:rPr>
        <w:t>(</w:t>
      </w:r>
      <w:r w:rsidR="007B07C4" w:rsidRPr="005E13A2">
        <w:rPr>
          <w:rFonts w:ascii="Times New Roman" w:eastAsia="Times New Roman" w:hAnsi="Times New Roman" w:cs="Times New Roman"/>
          <w:lang w:eastAsia="en-GB"/>
        </w:rPr>
        <w:t xml:space="preserve">Klemenčič &amp; </w:t>
      </w:r>
      <w:proofErr w:type="spellStart"/>
      <w:r w:rsidR="007B07C4" w:rsidRPr="005E13A2">
        <w:rPr>
          <w:rFonts w:ascii="Times New Roman" w:eastAsia="Times New Roman" w:hAnsi="Times New Roman" w:cs="Times New Roman"/>
          <w:lang w:eastAsia="en-GB"/>
        </w:rPr>
        <w:t>Chirikov</w:t>
      </w:r>
      <w:proofErr w:type="spellEnd"/>
      <w:r w:rsidR="007B07C4" w:rsidRPr="005E13A2">
        <w:rPr>
          <w:rFonts w:ascii="Times New Roman" w:eastAsia="Times New Roman" w:hAnsi="Times New Roman" w:cs="Times New Roman"/>
          <w:lang w:eastAsia="en-GB"/>
        </w:rPr>
        <w:t>, 2015)</w:t>
      </w:r>
      <w:r w:rsidRPr="005E13A2">
        <w:rPr>
          <w:rFonts w:ascii="Times New Roman" w:eastAsia="Times New Roman" w:hAnsi="Times New Roman" w:cs="Times New Roman"/>
          <w:lang w:eastAsia="en-GB"/>
        </w:rPr>
        <w:t xml:space="preserve">. </w:t>
      </w:r>
      <w:r w:rsidR="007B07C4" w:rsidRPr="005E13A2">
        <w:rPr>
          <w:rFonts w:ascii="Times New Roman" w:eastAsia="Times New Roman" w:hAnsi="Times New Roman" w:cs="Times New Roman"/>
          <w:lang w:eastAsia="en-GB"/>
        </w:rPr>
        <w:t xml:space="preserve">The key question is what is measured and what is not, and where these “standards” have been derived from. Typical </w:t>
      </w:r>
      <w:r w:rsidR="00DA5C23" w:rsidRPr="005E13A2">
        <w:rPr>
          <w:rFonts w:ascii="Times New Roman" w:hAnsi="Times New Roman" w:cs="Times New Roman"/>
          <w:bCs/>
          <w:iCs/>
        </w:rPr>
        <w:t xml:space="preserve">student engagement </w:t>
      </w:r>
      <w:r w:rsidR="007B07C4" w:rsidRPr="005E13A2">
        <w:rPr>
          <w:rFonts w:ascii="Times New Roman" w:hAnsi="Times New Roman" w:cs="Times New Roman"/>
          <w:bCs/>
          <w:iCs/>
        </w:rPr>
        <w:t xml:space="preserve">survey </w:t>
      </w:r>
      <w:r w:rsidR="00DA5C23" w:rsidRPr="005E13A2">
        <w:rPr>
          <w:rFonts w:ascii="Times New Roman" w:hAnsi="Times New Roman" w:cs="Times New Roman"/>
          <w:bCs/>
          <w:iCs/>
        </w:rPr>
        <w:t xml:space="preserve">questionnaires, such as those that have been influenced by the </w:t>
      </w:r>
      <w:r w:rsidRPr="005E13A2">
        <w:rPr>
          <w:rFonts w:ascii="Times New Roman" w:hAnsi="Times New Roman" w:cs="Times New Roman"/>
          <w:bCs/>
          <w:iCs/>
        </w:rPr>
        <w:t xml:space="preserve">National Student Engagement Survey in the USA, do not collect any insights in students’ experiences and beliefs </w:t>
      </w:r>
      <w:r w:rsidRPr="005E13A2">
        <w:rPr>
          <w:rFonts w:ascii="Times New Roman" w:hAnsi="Times New Roman" w:cs="Times New Roman"/>
          <w:bCs/>
          <w:iCs/>
        </w:rPr>
        <w:lastRenderedPageBreak/>
        <w:t xml:space="preserve">of the freedoms and opportunities they have to influence their learning pathways. </w:t>
      </w:r>
      <w:r w:rsidR="007B07C4" w:rsidRPr="005E13A2">
        <w:rPr>
          <w:rFonts w:ascii="Times New Roman" w:hAnsi="Times New Roman" w:cs="Times New Roman"/>
        </w:rPr>
        <w:t>The previous section revealed that the key premises of SCL as they emerge from the EHEA policy documents include student autonomy, self-regulation and choice, all of which are linked to students’ capabilities to influence their own learning pathways as well as collective learning systems. The existing student engagement surveys do not capture these elements, which indeed are difficult to measure, but rather focus on institutional factors that shape student experience.</w:t>
      </w:r>
      <w:r w:rsidR="007B07C4" w:rsidRPr="005E13A2">
        <w:rPr>
          <w:rFonts w:ascii="Times New Roman" w:eastAsia="Times New Roman" w:hAnsi="Times New Roman" w:cs="Times New Roman"/>
          <w:lang w:eastAsia="en-GB"/>
        </w:rPr>
        <w:t xml:space="preserve"> </w:t>
      </w:r>
      <w:r w:rsidR="001B1F4E" w:rsidRPr="005E13A2">
        <w:rPr>
          <w:rFonts w:ascii="Times New Roman" w:hAnsi="Times New Roman" w:cs="Times New Roman"/>
        </w:rPr>
        <w:t xml:space="preserve">As such suitability of student engagement concept to underpin the development and implementation of policies on SCL is questionable. </w:t>
      </w:r>
    </w:p>
    <w:p w14:paraId="29064AA3" w14:textId="77777777" w:rsidR="005E13A2" w:rsidRDefault="005E13A2" w:rsidP="005E13A2">
      <w:pPr>
        <w:pStyle w:val="Default"/>
        <w:spacing w:line="288" w:lineRule="auto"/>
        <w:jc w:val="both"/>
        <w:rPr>
          <w:rFonts w:ascii="Times New Roman" w:hAnsi="Times New Roman" w:cs="Times New Roman"/>
        </w:rPr>
      </w:pPr>
    </w:p>
    <w:p w14:paraId="39056C34" w14:textId="77777777" w:rsidR="005E13A2" w:rsidRPr="005E13A2" w:rsidRDefault="000E5F8D" w:rsidP="005E13A2">
      <w:pPr>
        <w:pStyle w:val="Default"/>
        <w:spacing w:line="288" w:lineRule="auto"/>
        <w:jc w:val="both"/>
        <w:rPr>
          <w:rFonts w:ascii="Times New Roman" w:hAnsi="Times New Roman" w:cs="Times New Roman"/>
        </w:rPr>
      </w:pPr>
      <w:r w:rsidRPr="005E13A2">
        <w:rPr>
          <w:rFonts w:ascii="Times New Roman" w:hAnsi="Times New Roman" w:cs="Times New Roman"/>
        </w:rPr>
        <w:t xml:space="preserve">To clarify the meanings of SCL and to further develop SCL policies and policy instruments (such as ESG) it may be more fruitful to employ a concept such as student agency, which focuses specifically on student capabilities to influence their learning environments. </w:t>
      </w:r>
      <w:r w:rsidR="001B1F4E" w:rsidRPr="005E13A2">
        <w:rPr>
          <w:rFonts w:ascii="Times New Roman" w:hAnsi="Times New Roman" w:cs="Times New Roman"/>
        </w:rPr>
        <w:t xml:space="preserve">As </w:t>
      </w:r>
      <w:proofErr w:type="spellStart"/>
      <w:r w:rsidR="001B1F4E" w:rsidRPr="005E13A2">
        <w:rPr>
          <w:rFonts w:ascii="Times New Roman" w:hAnsi="Times New Roman" w:cs="Times New Roman"/>
        </w:rPr>
        <w:t>Geven</w:t>
      </w:r>
      <w:proofErr w:type="spellEnd"/>
      <w:r w:rsidR="001B1F4E" w:rsidRPr="005E13A2">
        <w:rPr>
          <w:rFonts w:ascii="Times New Roman" w:hAnsi="Times New Roman" w:cs="Times New Roman"/>
        </w:rPr>
        <w:t xml:space="preserve"> and </w:t>
      </w:r>
      <w:proofErr w:type="spellStart"/>
      <w:r w:rsidR="001B1F4E" w:rsidRPr="005E13A2">
        <w:rPr>
          <w:rFonts w:ascii="Times New Roman" w:hAnsi="Times New Roman" w:cs="Times New Roman"/>
        </w:rPr>
        <w:t>Attard</w:t>
      </w:r>
      <w:proofErr w:type="spellEnd"/>
      <w:r w:rsidR="001B1F4E" w:rsidRPr="005E13A2">
        <w:rPr>
          <w:rFonts w:ascii="Times New Roman" w:hAnsi="Times New Roman" w:cs="Times New Roman"/>
        </w:rPr>
        <w:t xml:space="preserve"> (2012), both of whom have been involved as stakeholder experts in EHEA policy deliberations, attest, SCL is about generating “freedom” and “capability-sets” for students and staff to develop an interactive learning environment, such as opportunity for students to choose different modules and subjects, delivery method (e.g. on-line), or modes of assessments (</w:t>
      </w:r>
      <w:proofErr w:type="spellStart"/>
      <w:r w:rsidR="001B1F4E" w:rsidRPr="005E13A2">
        <w:rPr>
          <w:rFonts w:ascii="Times New Roman" w:hAnsi="Times New Roman" w:cs="Times New Roman"/>
        </w:rPr>
        <w:t>Geven</w:t>
      </w:r>
      <w:proofErr w:type="spellEnd"/>
      <w:r w:rsidR="001B1F4E" w:rsidRPr="005E13A2">
        <w:rPr>
          <w:rFonts w:ascii="Times New Roman" w:hAnsi="Times New Roman" w:cs="Times New Roman"/>
        </w:rPr>
        <w:t xml:space="preserve"> &amp; </w:t>
      </w:r>
      <w:proofErr w:type="spellStart"/>
      <w:r w:rsidR="001B1F4E" w:rsidRPr="005E13A2">
        <w:rPr>
          <w:rFonts w:ascii="Times New Roman" w:hAnsi="Times New Roman" w:cs="Times New Roman"/>
        </w:rPr>
        <w:t>Attard</w:t>
      </w:r>
      <w:proofErr w:type="spellEnd"/>
      <w:r w:rsidR="001B1F4E" w:rsidRPr="005E13A2">
        <w:rPr>
          <w:rFonts w:ascii="Times New Roman" w:hAnsi="Times New Roman" w:cs="Times New Roman"/>
        </w:rPr>
        <w:t xml:space="preserve">, 2012). </w:t>
      </w:r>
    </w:p>
    <w:p w14:paraId="5C3D74C2" w14:textId="77777777" w:rsidR="005E13A2" w:rsidRPr="005E13A2" w:rsidRDefault="005E13A2" w:rsidP="005E13A2">
      <w:pPr>
        <w:pStyle w:val="Default"/>
        <w:spacing w:line="288" w:lineRule="auto"/>
        <w:jc w:val="both"/>
        <w:rPr>
          <w:rFonts w:ascii="Times New Roman" w:hAnsi="Times New Roman" w:cs="Times New Roman"/>
        </w:rPr>
      </w:pPr>
    </w:p>
    <w:p w14:paraId="7364B4FE" w14:textId="77777777" w:rsidR="00072AFE" w:rsidRDefault="006C216F" w:rsidP="00072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pPr>
      <w:r w:rsidRPr="00072AFE">
        <w:rPr>
          <w:color w:val="000000"/>
        </w:rPr>
        <w:t>Student agency is built on two premises (</w:t>
      </w:r>
      <w:r w:rsidR="00192A72" w:rsidRPr="00072AFE">
        <w:rPr>
          <w:rFonts w:eastAsia="Times New Roman"/>
          <w:lang w:eastAsia="en-GB"/>
        </w:rPr>
        <w:t>Klemenčič</w:t>
      </w:r>
      <w:r w:rsidRPr="00072AFE">
        <w:rPr>
          <w:color w:val="000000"/>
        </w:rPr>
        <w:t>, 2015a). One is students’ agentic possibilities as students’ real opportunities and positive freedoms to do and to be what they reason to value</w:t>
      </w:r>
      <w:r w:rsidR="005E13A2" w:rsidRPr="00072AFE">
        <w:t xml:space="preserve"> within university context</w:t>
      </w:r>
      <w:r w:rsidRPr="00072AFE">
        <w:rPr>
          <w:color w:val="000000"/>
        </w:rPr>
        <w:t>. These are exogenously given – they originate outside the individual. The enabling condition for this premise is students’ autonomy (as freedom to act, think, be), which implies that students’ behavior is e</w:t>
      </w:r>
      <w:r w:rsidR="001B1F4E" w:rsidRPr="00072AFE">
        <w:rPr>
          <w:color w:val="000000"/>
        </w:rPr>
        <w:t>xperienced as willingly enacted.</w:t>
      </w:r>
      <w:r w:rsidRPr="00072AFE">
        <w:rPr>
          <w:color w:val="000000"/>
        </w:rPr>
        <w:t xml:space="preserve"> This premise is similar to MacFarlane’s definition of student academic freedom, ‘both as a right to full and free expression and as a means by which learners can experience a genuinely “higher” education that enables them to become critical thinkers’ (Macfarlane, 2011).</w:t>
      </w:r>
      <w:r w:rsidR="001B1F4E" w:rsidRPr="00072AFE">
        <w:rPr>
          <w:color w:val="000000"/>
        </w:rPr>
        <w:t xml:space="preserve"> </w:t>
      </w:r>
      <w:r w:rsidRPr="00072AFE">
        <w:rPr>
          <w:color w:val="000000"/>
        </w:rPr>
        <w:t xml:space="preserve">The other premise is students’ agentic orientations which refer to students’ predispositions and will to particular enactments of agency. These are endogenously constructed as they represent internal responses to external state of affairs. They include internalized ‘routines, dispositions, preconceptions, competences, schemas, patterns, </w:t>
      </w:r>
      <w:proofErr w:type="spellStart"/>
      <w:r w:rsidRPr="00072AFE">
        <w:rPr>
          <w:color w:val="000000"/>
        </w:rPr>
        <w:t>typifications</w:t>
      </w:r>
      <w:proofErr w:type="spellEnd"/>
      <w:r w:rsidRPr="00072AFE">
        <w:rPr>
          <w:color w:val="000000"/>
        </w:rPr>
        <w:t>, and traditions’ (</w:t>
      </w:r>
      <w:proofErr w:type="spellStart"/>
      <w:r w:rsidRPr="00072AFE">
        <w:rPr>
          <w:color w:val="000000"/>
        </w:rPr>
        <w:t>Emirbayer</w:t>
      </w:r>
      <w:proofErr w:type="spellEnd"/>
      <w:r w:rsidRPr="00072AFE">
        <w:rPr>
          <w:color w:val="000000"/>
        </w:rPr>
        <w:t xml:space="preserve"> &amp; </w:t>
      </w:r>
      <w:proofErr w:type="spellStart"/>
      <w:r w:rsidRPr="00072AFE">
        <w:rPr>
          <w:color w:val="000000"/>
        </w:rPr>
        <w:t>Mische</w:t>
      </w:r>
      <w:proofErr w:type="spellEnd"/>
      <w:r w:rsidRPr="00072AFE">
        <w:rPr>
          <w:color w:val="000000"/>
        </w:rPr>
        <w:t xml:space="preserve">, 1998, 973); and are not unlike Bourdieu’s “habitus”, i.e. structure of mind and emotions characterized by a set of acquired </w:t>
      </w:r>
      <w:proofErr w:type="spellStart"/>
      <w:r w:rsidRPr="00072AFE">
        <w:rPr>
          <w:color w:val="000000"/>
        </w:rPr>
        <w:t>shemata</w:t>
      </w:r>
      <w:proofErr w:type="spellEnd"/>
      <w:r w:rsidRPr="00072AFE">
        <w:rPr>
          <w:color w:val="000000"/>
        </w:rPr>
        <w:t xml:space="preserve"> (</w:t>
      </w:r>
      <w:r w:rsidR="00E31ABB" w:rsidRPr="00072AFE">
        <w:t>organized</w:t>
      </w:r>
      <w:r w:rsidRPr="00072AFE">
        <w:rPr>
          <w:color w:val="000000"/>
        </w:rPr>
        <w:t xml:space="preserve"> pattern of thought or </w:t>
      </w:r>
      <w:r w:rsidR="00E31ABB" w:rsidRPr="00072AFE">
        <w:t>behavior</w:t>
      </w:r>
      <w:r w:rsidRPr="00072AFE">
        <w:rPr>
          <w:color w:val="000000"/>
        </w:rPr>
        <w:t xml:space="preserve">), sensibilities, dispositions, and taste (Bourdieu, 1984). There are two enabling conditions for this premise. One is students’ efficacy as students’ judgment of and belief in their capabilities to exercise control over their own functioning </w:t>
      </w:r>
      <w:r w:rsidR="005E13A2" w:rsidRPr="00072AFE">
        <w:t xml:space="preserve">as students </w:t>
      </w:r>
      <w:r w:rsidRPr="00072AFE">
        <w:rPr>
          <w:color w:val="000000"/>
        </w:rPr>
        <w:t xml:space="preserve">and over </w:t>
      </w:r>
      <w:r w:rsidR="005E13A2" w:rsidRPr="00072AFE">
        <w:t>higher education environments</w:t>
      </w:r>
      <w:r w:rsidRPr="00072AFE">
        <w:rPr>
          <w:color w:val="000000"/>
        </w:rPr>
        <w:t xml:space="preserve"> that affect their lives </w:t>
      </w:r>
      <w:r w:rsidR="005E13A2" w:rsidRPr="00072AFE">
        <w:t xml:space="preserve">as students </w:t>
      </w:r>
      <w:r w:rsidRPr="00072AFE">
        <w:rPr>
          <w:color w:val="000000"/>
        </w:rPr>
        <w:t>(cf. Bandura, 2001). Another one is students’ self-regulation as the process by which a student controls (makes conscious decisions</w:t>
      </w:r>
      <w:r w:rsidR="005E13A2" w:rsidRPr="00072AFE">
        <w:t>) about</w:t>
      </w:r>
      <w:r w:rsidRPr="00072AFE">
        <w:rPr>
          <w:color w:val="000000"/>
        </w:rPr>
        <w:t xml:space="preserve"> own learning trajectory; which includes various functions, such as task analysis, self-control and self-evaluation (Zimmerman, 2008).</w:t>
      </w:r>
      <w:r w:rsidR="005E13A2" w:rsidRPr="00072AFE">
        <w:t xml:space="preserve"> </w:t>
      </w:r>
    </w:p>
    <w:p w14:paraId="42A97863" w14:textId="5172B881" w:rsidR="006C216F" w:rsidRPr="005E13A2" w:rsidRDefault="005E13A2" w:rsidP="00072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072AFE">
        <w:t xml:space="preserve">Conceptually student agency is closer to SCL than student engagements since </w:t>
      </w:r>
      <w:r w:rsidR="00E31ABB" w:rsidRPr="00072AFE">
        <w:t>both concepts</w:t>
      </w:r>
      <w:r w:rsidRPr="00072AFE">
        <w:t xml:space="preserve"> </w:t>
      </w:r>
      <w:r w:rsidR="00E31ABB" w:rsidRPr="00072AFE">
        <w:t xml:space="preserve">shares </w:t>
      </w:r>
      <w:r w:rsidR="00E31ABB" w:rsidRPr="00072AFE">
        <w:lastRenderedPageBreak/>
        <w:t xml:space="preserve">the emphasis on autonomy, choice and freedoms of students within higher education context. </w:t>
      </w:r>
      <w:r w:rsidR="00072AFE" w:rsidRPr="00072AFE">
        <w:rPr>
          <w:color w:val="000000"/>
        </w:rPr>
        <w:t xml:space="preserve">Conceptualizing SCL policies and instruments within theory of student agency ensures that the emphasis shifts from students behavior and propensity to specific types of behaviors believed to enhance learning gains to  strengthening students’ real opportunities and  positive freedoms to influence their learning environments  and define their learning pathways and pay attention to students’ sense of their efficacy as their capabilities to exercise control over their own functioning in the higher education context. </w:t>
      </w:r>
    </w:p>
    <w:p w14:paraId="256CC9A9" w14:textId="66732301" w:rsidR="007E4A42" w:rsidRPr="00D374E7" w:rsidRDefault="00D374E7" w:rsidP="00AB66F3">
      <w:pPr>
        <w:pStyle w:val="Heading1"/>
      </w:pPr>
      <w:r>
        <w:t>Conclusion</w:t>
      </w:r>
    </w:p>
    <w:p w14:paraId="5E67DBFE" w14:textId="3D611CC9" w:rsidR="00E31ABB" w:rsidRDefault="00D374E7" w:rsidP="00E31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pPr>
      <w:r w:rsidRPr="00072AFE">
        <w:rPr>
          <w:color w:val="000000"/>
        </w:rPr>
        <w:t xml:space="preserve">This article argues that for policy development and implementation of SCL it is more fruitful to conceive </w:t>
      </w:r>
      <w:r w:rsidR="004A645A">
        <w:rPr>
          <w:color w:val="000000"/>
        </w:rPr>
        <w:t>SCL</w:t>
      </w:r>
      <w:r w:rsidRPr="00072AFE">
        <w:rPr>
          <w:color w:val="000000"/>
        </w:rPr>
        <w:t xml:space="preserve"> as a “meta” approach whereby the principles of SCL are enacted in specific fields of operation each of which involves specific set of actors and purposes. SCL as </w:t>
      </w:r>
      <w:r w:rsidR="0007789F" w:rsidRPr="00072AFE">
        <w:rPr>
          <w:color w:val="000000"/>
        </w:rPr>
        <w:t xml:space="preserve">a </w:t>
      </w:r>
      <w:r w:rsidRPr="00072AFE">
        <w:rPr>
          <w:color w:val="000000"/>
        </w:rPr>
        <w:t xml:space="preserve">pedagogic concept </w:t>
      </w:r>
      <w:r w:rsidR="0007789F" w:rsidRPr="00072AFE">
        <w:rPr>
          <w:color w:val="000000"/>
        </w:rPr>
        <w:t>emphasizes that active learning</w:t>
      </w:r>
      <w:r w:rsidR="0007789F" w:rsidRPr="00072AFE">
        <w:t xml:space="preserve"> activities</w:t>
      </w:r>
      <w:r w:rsidR="0007789F" w:rsidRPr="00072AFE">
        <w:rPr>
          <w:color w:val="000000"/>
        </w:rPr>
        <w:t xml:space="preserve">, such as </w:t>
      </w:r>
      <w:r w:rsidR="0007789F" w:rsidRPr="00072AFE">
        <w:rPr>
          <w:rFonts w:eastAsia="Times New Roman"/>
        </w:rPr>
        <w:t>problem-based learning, computer-supported collaborative learning, learning-by-design, project-based learning, games and simulations, etc.</w:t>
      </w:r>
      <w:r w:rsidR="004A645A">
        <w:rPr>
          <w:rFonts w:eastAsia="Times New Roman"/>
        </w:rPr>
        <w:t xml:space="preserve"> These </w:t>
      </w:r>
      <w:r w:rsidR="0007789F" w:rsidRPr="00072AFE">
        <w:rPr>
          <w:rFonts w:eastAsia="Times New Roman"/>
        </w:rPr>
        <w:t xml:space="preserve">are introduced to complement the </w:t>
      </w:r>
      <w:r w:rsidR="0007789F" w:rsidRPr="00072AFE">
        <w:t xml:space="preserve">fully-guided direct instruction. SCL as an element of culture refers specifically to the student-teacher and student-university power relations and how these serve as </w:t>
      </w:r>
      <w:r w:rsidR="0007789F" w:rsidRPr="00072AFE">
        <w:rPr>
          <w:iCs/>
          <w:color w:val="000000"/>
        </w:rPr>
        <w:t>cultural frames</w:t>
      </w:r>
      <w:r w:rsidR="0007789F" w:rsidRPr="00072AFE">
        <w:rPr>
          <w:i/>
          <w:iCs/>
          <w:color w:val="000000"/>
        </w:rPr>
        <w:t xml:space="preserve"> </w:t>
      </w:r>
      <w:r w:rsidR="0007789F" w:rsidRPr="00072AFE">
        <w:rPr>
          <w:color w:val="000000"/>
        </w:rPr>
        <w:t xml:space="preserve">shaping expectations of </w:t>
      </w:r>
      <w:r w:rsidR="004A645A">
        <w:rPr>
          <w:color w:val="000000"/>
        </w:rPr>
        <w:t xml:space="preserve">members of academic community about </w:t>
      </w:r>
      <w:r w:rsidR="0007789F" w:rsidRPr="00072AFE">
        <w:rPr>
          <w:color w:val="000000"/>
        </w:rPr>
        <w:t xml:space="preserve">how to relate to one another. Finally, SCL as </w:t>
      </w:r>
      <w:r w:rsidR="0007789F" w:rsidRPr="00072AFE">
        <w:rPr>
          <w:iCs/>
          <w:color w:val="000000"/>
        </w:rPr>
        <w:t xml:space="preserve">a lever supporting learning systems </w:t>
      </w:r>
      <w:r w:rsidR="00E31ABB" w:rsidRPr="00072AFE">
        <w:rPr>
          <w:iCs/>
          <w:color w:val="000000"/>
        </w:rPr>
        <w:t>refers to the four main areas of applicat</w:t>
      </w:r>
      <w:r w:rsidR="004A645A">
        <w:rPr>
          <w:iCs/>
          <w:color w:val="000000"/>
        </w:rPr>
        <w:t>ion of SCL, apart from pedagogy</w:t>
      </w:r>
      <w:r w:rsidR="00E31ABB" w:rsidRPr="00072AFE">
        <w:rPr>
          <w:iCs/>
          <w:color w:val="000000"/>
        </w:rPr>
        <w:t xml:space="preserve">: assessment, </w:t>
      </w:r>
      <w:r w:rsidR="00072AFE" w:rsidRPr="00072AFE">
        <w:rPr>
          <w:iCs/>
          <w:color w:val="000000"/>
        </w:rPr>
        <w:t xml:space="preserve">curriculum design and qualification frameworks, </w:t>
      </w:r>
      <w:r w:rsidR="004A645A">
        <w:rPr>
          <w:color w:val="000000"/>
        </w:rPr>
        <w:t>student (and teacher) support</w:t>
      </w:r>
      <w:r w:rsidR="00072AFE" w:rsidRPr="00072AFE">
        <w:rPr>
          <w:color w:val="000000"/>
        </w:rPr>
        <w:t xml:space="preserve"> </w:t>
      </w:r>
      <w:r w:rsidR="004A645A">
        <w:rPr>
          <w:color w:val="000000"/>
        </w:rPr>
        <w:t>and</w:t>
      </w:r>
      <w:r w:rsidR="00072AFE" w:rsidRPr="00072AFE">
        <w:rPr>
          <w:color w:val="000000"/>
        </w:rPr>
        <w:t xml:space="preserve"> resources, and </w:t>
      </w:r>
      <w:r w:rsidR="00072AFE" w:rsidRPr="00072AFE">
        <w:t>student involvement i</w:t>
      </w:r>
      <w:r w:rsidR="004A645A">
        <w:t>n institutional decision-making</w:t>
      </w:r>
      <w:r w:rsidR="00072AFE" w:rsidRPr="00072AFE">
        <w:t>.</w:t>
      </w:r>
    </w:p>
    <w:p w14:paraId="1A783A02" w14:textId="5FA0FE9A" w:rsidR="00E40B03" w:rsidRDefault="005E5D15" w:rsidP="00E31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pPr>
      <w:r>
        <w:t xml:space="preserve">Further argument made is that student engagement is conceptually unfit to serve as theoretical foundation underpinning policy development and policy instruments in SCL despite ideological congruence of both approaches within liberal educational philosophy. A case is made that theory of student agency presents a better conceptual framework since it </w:t>
      </w:r>
      <w:r w:rsidR="004A645A">
        <w:t xml:space="preserve">captures and highlight elements of autonomy, choice and freedoms, which are the core premises of SCL. </w:t>
      </w:r>
      <w:r>
        <w:t xml:space="preserve">These elements are not captured in the behaviorist-orientation of student engagement. Students agency needs to be developed further as theory, but it lends itself well-suited to guide development of instruments such as ESG indicators of quality of SCL. It </w:t>
      </w:r>
      <w:r w:rsidR="00E40B03">
        <w:t>can</w:t>
      </w:r>
      <w:r>
        <w:t xml:space="preserve"> </w:t>
      </w:r>
      <w:r w:rsidR="00E40B03">
        <w:t xml:space="preserve">provide a framework </w:t>
      </w:r>
      <w:r w:rsidR="009E1ACC">
        <w:t>to</w:t>
      </w:r>
      <w:r w:rsidR="00E40B03">
        <w:t xml:space="preserve"> align the different applications of SCL </w:t>
      </w:r>
      <w:r w:rsidR="009E1ACC">
        <w:t>under common premises of the extent and conditions under which student agency is strengthened. Perhaps</w:t>
      </w:r>
      <w:r w:rsidR="00E40B03">
        <w:t xml:space="preserve"> the most important question for policy-makers and practitioners in regard to SCL is how do we know that an institution has implemented SCL. The five areas of application of SCL have been mentioned earlier. Within these areas </w:t>
      </w:r>
      <w:r w:rsidR="004A645A">
        <w:t>evidence is sought</w:t>
      </w:r>
      <w:r w:rsidR="00E40B03">
        <w:t xml:space="preserve"> that </w:t>
      </w:r>
      <w:r w:rsidR="004A645A">
        <w:t>students have (sufficient)</w:t>
      </w:r>
      <w:r w:rsidR="00E40B03">
        <w:t xml:space="preserve"> capabilities to influence their learning pathways and environments. </w:t>
      </w:r>
    </w:p>
    <w:p w14:paraId="4BDC81D4" w14:textId="53CB2601" w:rsidR="00911B99" w:rsidRPr="00072AFE" w:rsidRDefault="004A645A" w:rsidP="00911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rFonts w:eastAsia="Times New Roman"/>
        </w:rPr>
      </w:pPr>
      <w:r>
        <w:rPr>
          <w:color w:val="000000"/>
        </w:rPr>
        <w:t>Finally, t</w:t>
      </w:r>
      <w:r w:rsidR="00911B99" w:rsidRPr="00072AFE">
        <w:rPr>
          <w:color w:val="000000"/>
        </w:rPr>
        <w:t>he policy documents and the few projects within EHEA specifically targeting implementation of SCL</w:t>
      </w:r>
      <w:r w:rsidR="00911B99" w:rsidRPr="00072AFE">
        <w:rPr>
          <w:rStyle w:val="FootnoteReference"/>
          <w:color w:val="000000"/>
        </w:rPr>
        <w:footnoteReference w:id="4"/>
      </w:r>
      <w:r w:rsidR="00911B99" w:rsidRPr="00072AFE">
        <w:rPr>
          <w:color w:val="000000"/>
        </w:rPr>
        <w:t xml:space="preserve"> show little awareness of the ample research on SCL practices</w:t>
      </w:r>
      <w:r w:rsidR="00300EEA">
        <w:rPr>
          <w:color w:val="000000"/>
        </w:rPr>
        <w:t xml:space="preserve">, </w:t>
      </w:r>
      <w:r w:rsidR="005E5D15">
        <w:rPr>
          <w:color w:val="000000"/>
        </w:rPr>
        <w:lastRenderedPageBreak/>
        <w:t>controversies</w:t>
      </w:r>
      <w:r w:rsidR="00300EEA">
        <w:rPr>
          <w:color w:val="000000"/>
        </w:rPr>
        <w:t>,</w:t>
      </w:r>
      <w:r w:rsidR="00911B99" w:rsidRPr="00072AFE">
        <w:rPr>
          <w:color w:val="000000"/>
        </w:rPr>
        <w:t xml:space="preserve"> and the myriad of techniques that can be used in design of instruction in a way to</w:t>
      </w:r>
      <w:r w:rsidR="00911B99" w:rsidRPr="00072AFE">
        <w:rPr>
          <w:rFonts w:eastAsia="Times New Roman"/>
        </w:rPr>
        <w:t xml:space="preserve"> </w:t>
      </w:r>
      <w:r w:rsidR="00911B99" w:rsidRPr="00072AFE">
        <w:rPr>
          <w:color w:val="000000"/>
        </w:rPr>
        <w:t>‘facilitate</w:t>
      </w:r>
      <w:r w:rsidR="00911B99" w:rsidRPr="00072AFE">
        <w:rPr>
          <w:rFonts w:eastAsia="Times New Roman"/>
        </w:rPr>
        <w:t xml:space="preserve"> student- or self-directed learning by enabling students to productively engage complex, open-ended problems that are aligned authentically with the practices, culture, or processes of a domain’ (</w:t>
      </w:r>
      <w:r w:rsidR="00300EEA">
        <w:rPr>
          <w:rFonts w:eastAsia="Times New Roman"/>
        </w:rPr>
        <w:t xml:space="preserve">Land, </w:t>
      </w:r>
      <w:proofErr w:type="spellStart"/>
      <w:r w:rsidR="00300EEA">
        <w:rPr>
          <w:rFonts w:eastAsia="Times New Roman"/>
        </w:rPr>
        <w:t>Hannafin</w:t>
      </w:r>
      <w:proofErr w:type="spellEnd"/>
      <w:r w:rsidR="00300EEA">
        <w:rPr>
          <w:rFonts w:eastAsia="Times New Roman"/>
        </w:rPr>
        <w:t>, &amp; Oliver, 2012, 3</w:t>
      </w:r>
      <w:r w:rsidR="00911B99" w:rsidRPr="00072AFE">
        <w:rPr>
          <w:rFonts w:eastAsia="Times New Roman"/>
        </w:rPr>
        <w:t xml:space="preserve">). </w:t>
      </w:r>
      <w:r w:rsidR="00911B99" w:rsidRPr="00072AFE">
        <w:rPr>
          <w:color w:val="000000"/>
        </w:rPr>
        <w:t>The lack of</w:t>
      </w:r>
      <w:r w:rsidR="00072AFE" w:rsidRPr="00072AFE">
        <w:rPr>
          <w:color w:val="000000"/>
        </w:rPr>
        <w:t xml:space="preserve"> involvement of scholars on SCL</w:t>
      </w:r>
      <w:r w:rsidR="00911B99" w:rsidRPr="00072AFE">
        <w:rPr>
          <w:color w:val="000000"/>
        </w:rPr>
        <w:t xml:space="preserve"> in development of policies and instruments to implement policies on SCL in EHEA poses serious problems for policy implementation, quality assessments and scalability of SCL within EHEA. Those involved in policy development in EHEA often fail to review relevant literature. At the same time, the scientists of learning systems designs have not done enough to communicate “usable knowledge” to interested policy-makers and practitioners. This problem is not unique to EHEA policy-development on SCL. Higher education professionals responsible fo</w:t>
      </w:r>
      <w:r>
        <w:rPr>
          <w:color w:val="000000"/>
        </w:rPr>
        <w:t>r teaching and learning and SCL</w:t>
      </w:r>
      <w:r w:rsidR="00911B99" w:rsidRPr="00072AFE">
        <w:rPr>
          <w:color w:val="000000"/>
        </w:rPr>
        <w:t xml:space="preserve"> and teachers themselves often do not have access to resources and insight into relevant scholarly literature and latest findings on SCL (</w:t>
      </w:r>
      <w:r w:rsidR="00192A72" w:rsidRPr="00072AFE">
        <w:rPr>
          <w:rFonts w:eastAsia="Times New Roman"/>
          <w:lang w:eastAsia="en-GB"/>
        </w:rPr>
        <w:t>Klemenčič</w:t>
      </w:r>
      <w:r w:rsidR="00911B99" w:rsidRPr="00072AFE">
        <w:rPr>
          <w:color w:val="000000"/>
        </w:rPr>
        <w:t xml:space="preserve"> </w:t>
      </w:r>
      <w:r w:rsidR="00192A72" w:rsidRPr="00072AFE">
        <w:rPr>
          <w:color w:val="000000"/>
        </w:rPr>
        <w:t>&amp;</w:t>
      </w:r>
      <w:r w:rsidR="00911B99" w:rsidRPr="00072AFE">
        <w:rPr>
          <w:color w:val="000000"/>
        </w:rPr>
        <w:t xml:space="preserve"> Ashwin, 2015</w:t>
      </w:r>
      <w:r w:rsidR="00192A72" w:rsidRPr="00072AFE">
        <w:rPr>
          <w:color w:val="000000"/>
        </w:rPr>
        <w:t>; Klemenčič, 2015b).</w:t>
      </w:r>
      <w:r>
        <w:rPr>
          <w:rFonts w:eastAsia="Times New Roman"/>
        </w:rPr>
        <w:t xml:space="preserve"> </w:t>
      </w:r>
      <w:r w:rsidR="00911B99" w:rsidRPr="00072AFE">
        <w:rPr>
          <w:rFonts w:eastAsia="Times New Roman"/>
        </w:rPr>
        <w:t xml:space="preserve">While quality evaluation panels coming into universities will not be able to test each and every teacher for knowledge on learning systems design, they should be able to request evidence of existence of institutional repositories with resources on teaching and learning methods, which are accessible to all teaching staff and students. Furthermore, there should be evidence of </w:t>
      </w:r>
      <w:r w:rsidR="00E40B03">
        <w:rPr>
          <w:rFonts w:eastAsia="Times New Roman"/>
        </w:rPr>
        <w:t xml:space="preserve">in-built flexibility in curriculum </w:t>
      </w:r>
      <w:r>
        <w:rPr>
          <w:rFonts w:eastAsia="Times New Roman"/>
        </w:rPr>
        <w:t xml:space="preserve">design and delivery modes, and so forth. </w:t>
      </w:r>
    </w:p>
    <w:p w14:paraId="1F31242D" w14:textId="77777777" w:rsidR="007E4A42"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color w:val="000000"/>
          <w:sz w:val="22"/>
          <w:szCs w:val="22"/>
        </w:rPr>
      </w:pPr>
    </w:p>
    <w:p w14:paraId="76A1C4F2"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Despite the 2000 report detailing the prevailing views on how people </w:t>
      </w:r>
    </w:p>
    <w:p w14:paraId="370D5F8A" w14:textId="77777777" w:rsidR="00300EEA" w:rsidRDefault="00300EEA" w:rsidP="00300EEA">
      <w:pPr>
        <w:shd w:val="clear" w:color="auto" w:fill="FFFFFF"/>
        <w:spacing w:line="0" w:lineRule="auto"/>
        <w:rPr>
          <w:rFonts w:ascii="ff2" w:eastAsia="Times New Roman" w:hAnsi="ff2"/>
          <w:color w:val="231F20"/>
          <w:sz w:val="60"/>
          <w:szCs w:val="60"/>
        </w:rPr>
      </w:pPr>
      <w:proofErr w:type="gramStart"/>
      <w:r>
        <w:rPr>
          <w:rFonts w:ascii="ff2" w:eastAsia="Times New Roman" w:hAnsi="ff2"/>
          <w:color w:val="231F20"/>
          <w:sz w:val="60"/>
          <w:szCs w:val="60"/>
        </w:rPr>
        <w:t xml:space="preserve">learn, </w:t>
      </w:r>
      <w:r>
        <w:rPr>
          <w:rStyle w:val="a"/>
          <w:rFonts w:ascii="ff2" w:eastAsia="Times New Roman" w:hAnsi="ff2"/>
          <w:color w:val="231F20"/>
          <w:sz w:val="60"/>
          <w:szCs w:val="60"/>
        </w:rPr>
        <w:t xml:space="preserve"> </w:t>
      </w:r>
      <w:r>
        <w:rPr>
          <w:rFonts w:ascii="ff2" w:eastAsia="Times New Roman" w:hAnsi="ff2"/>
          <w:color w:val="231F20"/>
          <w:sz w:val="60"/>
          <w:szCs w:val="60"/>
        </w:rPr>
        <w:t>debate</w:t>
      </w:r>
      <w:proofErr w:type="gramEnd"/>
      <w:r>
        <w:rPr>
          <w:rFonts w:ascii="ff2" w:eastAsia="Times New Roman" w:hAnsi="ff2"/>
          <w:color w:val="231F20"/>
          <w:sz w:val="60"/>
          <w:szCs w:val="60"/>
        </w:rPr>
        <w:t xml:space="preserv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about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the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veracity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of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assumptions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about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learner-centered </w:t>
      </w:r>
    </w:p>
    <w:p w14:paraId="17171311"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designs </w:t>
      </w:r>
      <w:proofErr w:type="gramStart"/>
      <w:r>
        <w:rPr>
          <w:rFonts w:ascii="ff2" w:eastAsia="Times New Roman" w:hAnsi="ff2"/>
          <w:color w:val="231F20"/>
          <w:sz w:val="60"/>
          <w:szCs w:val="60"/>
        </w:rPr>
        <w:t>has</w:t>
      </w:r>
      <w:proofErr w:type="gramEnd"/>
      <w:r>
        <w:rPr>
          <w:rFonts w:ascii="ff2" w:eastAsia="Times New Roman" w:hAnsi="ff2"/>
          <w:color w:val="231F20"/>
          <w:sz w:val="60"/>
          <w:szCs w:val="60"/>
        </w:rPr>
        <w:t xml:space="preserve"> re-emerged, with questions arising about the research evidence </w:t>
      </w:r>
    </w:p>
    <w:p w14:paraId="6B433629"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available in support of constructivist approaches (see for example, Hirsch, </w:t>
      </w:r>
    </w:p>
    <w:p w14:paraId="0C81AB93"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2001; </w:t>
      </w:r>
      <w:proofErr w:type="spellStart"/>
      <w:r>
        <w:rPr>
          <w:rFonts w:ascii="ff2" w:eastAsia="Times New Roman" w:hAnsi="ff2"/>
          <w:color w:val="231F20"/>
          <w:sz w:val="60"/>
          <w:szCs w:val="60"/>
        </w:rPr>
        <w:t>Kirschner</w:t>
      </w:r>
      <w:proofErr w:type="spellEnd"/>
      <w:r>
        <w:rPr>
          <w:rFonts w:ascii="ff2" w:eastAsia="Times New Roman" w:hAnsi="ff2"/>
          <w:color w:val="231F20"/>
          <w:sz w:val="60"/>
          <w:szCs w:val="60"/>
        </w:rPr>
        <w:t xml:space="preserve"> et al., 2006). Indeed, unlike for traditional instruction, </w:t>
      </w:r>
    </w:p>
    <w:p w14:paraId="659FD06F"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no unifying theory seems to guide the design of student-centered learning </w:t>
      </w:r>
    </w:p>
    <w:p w14:paraId="3F0C2EB5" w14:textId="77777777" w:rsidR="00300EEA" w:rsidRDefault="00300EEA" w:rsidP="00300EEA">
      <w:pPr>
        <w:shd w:val="clear" w:color="auto" w:fill="FFFFFF"/>
        <w:spacing w:line="0" w:lineRule="auto"/>
        <w:rPr>
          <w:rFonts w:ascii="ff2" w:eastAsia="Times New Roman" w:hAnsi="ff2"/>
          <w:color w:val="231F20"/>
          <w:sz w:val="60"/>
          <w:szCs w:val="60"/>
        </w:rPr>
      </w:pPr>
      <w:proofErr w:type="gramStart"/>
      <w:r>
        <w:rPr>
          <w:rFonts w:ascii="ff2" w:eastAsia="Times New Roman" w:hAnsi="ff2"/>
          <w:color w:val="231F20"/>
          <w:sz w:val="60"/>
          <w:szCs w:val="60"/>
        </w:rPr>
        <w:t xml:space="preserve">environments, </w:t>
      </w:r>
      <w:r>
        <w:rPr>
          <w:rStyle w:val="a"/>
          <w:rFonts w:ascii="ff2" w:eastAsia="Times New Roman" w:hAnsi="ff2"/>
          <w:color w:val="231F20"/>
          <w:sz w:val="60"/>
          <w:szCs w:val="60"/>
        </w:rPr>
        <w:t xml:space="preserve"> </w:t>
      </w:r>
      <w:r>
        <w:rPr>
          <w:rFonts w:ascii="ff2" w:eastAsia="Times New Roman" w:hAnsi="ff2"/>
          <w:color w:val="231F20"/>
          <w:sz w:val="60"/>
          <w:szCs w:val="60"/>
        </w:rPr>
        <w:t>which</w:t>
      </w:r>
      <w:proofErr w:type="gramEnd"/>
      <w:r>
        <w:rPr>
          <w:rFonts w:ascii="ff2" w:eastAsia="Times New Roman" w:hAnsi="ff2"/>
          <w:color w:val="231F20"/>
          <w:sz w:val="60"/>
          <w:szCs w:val="60"/>
        </w:rPr>
        <w:t xml:space="preserv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creates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challenges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for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research,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scalability,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and </w:t>
      </w:r>
    </w:p>
    <w:p w14:paraId="51689D4F"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generalizability. </w:t>
      </w:r>
      <w:r>
        <w:rPr>
          <w:rStyle w:val="a"/>
          <w:rFonts w:ascii="ff2" w:eastAsia="Times New Roman" w:hAnsi="ff2"/>
          <w:color w:val="231F20"/>
          <w:sz w:val="60"/>
          <w:szCs w:val="60"/>
        </w:rPr>
        <w:t xml:space="preserve"> </w:t>
      </w:r>
      <w:proofErr w:type="gramStart"/>
      <w:r>
        <w:rPr>
          <w:rFonts w:ascii="ff2" w:eastAsia="Times New Roman" w:hAnsi="ff2"/>
          <w:color w:val="231F20"/>
          <w:sz w:val="60"/>
          <w:szCs w:val="60"/>
        </w:rPr>
        <w:t xml:space="preserve">We </w:t>
      </w:r>
      <w:r>
        <w:rPr>
          <w:rStyle w:val="a"/>
          <w:rFonts w:ascii="ff2" w:eastAsia="Times New Roman" w:hAnsi="ff2"/>
          <w:color w:val="231F20"/>
          <w:sz w:val="60"/>
          <w:szCs w:val="60"/>
        </w:rPr>
        <w:t xml:space="preserve"> </w:t>
      </w:r>
      <w:r>
        <w:rPr>
          <w:rFonts w:ascii="ff2" w:eastAsia="Times New Roman" w:hAnsi="ff2"/>
          <w:color w:val="231F20"/>
          <w:sz w:val="60"/>
          <w:szCs w:val="60"/>
        </w:rPr>
        <w:t>acknowledge</w:t>
      </w:r>
      <w:proofErr w:type="gramEnd"/>
      <w:r>
        <w:rPr>
          <w:rFonts w:ascii="ff2" w:eastAsia="Times New Roman" w:hAnsi="ff2"/>
          <w:color w:val="231F20"/>
          <w:sz w:val="60"/>
          <w:szCs w:val="60"/>
        </w:rPr>
        <w:t xml:space="preserv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the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efficacy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of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varied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approaches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to </w:t>
      </w:r>
    </w:p>
    <w:p w14:paraId="3567CB72"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teaching and design, with design decisions being a byproduct of different </w:t>
      </w:r>
    </w:p>
    <w:p w14:paraId="69F4B5E5"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contexts, tasks, pragmatics, and goals. This chapter focuses on introducing </w:t>
      </w:r>
    </w:p>
    <w:p w14:paraId="6BF2F817"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the tenets of student-centered learning environments that are grounded </w:t>
      </w:r>
    </w:p>
    <w:p w14:paraId="63248BC1"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in foundations, assumptions, and methods associated with constructivist </w:t>
      </w:r>
    </w:p>
    <w:p w14:paraId="0C125FA1" w14:textId="77777777" w:rsidR="00300EEA" w:rsidRDefault="00300EEA" w:rsidP="00300EEA">
      <w:pPr>
        <w:shd w:val="clear" w:color="auto" w:fill="FFFFFF"/>
        <w:spacing w:line="0" w:lineRule="auto"/>
        <w:rPr>
          <w:rFonts w:ascii="ff2" w:eastAsia="Times New Roman" w:hAnsi="ff2"/>
          <w:color w:val="231F20"/>
          <w:sz w:val="60"/>
          <w:szCs w:val="60"/>
        </w:rPr>
      </w:pPr>
      <w:proofErr w:type="spellStart"/>
      <w:r>
        <w:rPr>
          <w:rFonts w:ascii="ff2" w:eastAsia="Times New Roman" w:hAnsi="ff2"/>
          <w:color w:val="231F20"/>
          <w:sz w:val="60"/>
          <w:szCs w:val="60"/>
        </w:rPr>
        <w:t>epistemolog</w:t>
      </w:r>
      <w:proofErr w:type="spellEnd"/>
    </w:p>
    <w:p w14:paraId="72CDE772"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Despite the 2000 report detailing the prevailing views on how people </w:t>
      </w:r>
    </w:p>
    <w:p w14:paraId="6034E62A" w14:textId="77777777" w:rsidR="00300EEA" w:rsidRDefault="00300EEA" w:rsidP="00300EEA">
      <w:pPr>
        <w:shd w:val="clear" w:color="auto" w:fill="FFFFFF"/>
        <w:spacing w:line="0" w:lineRule="auto"/>
        <w:rPr>
          <w:rFonts w:ascii="ff2" w:eastAsia="Times New Roman" w:hAnsi="ff2"/>
          <w:color w:val="231F20"/>
          <w:sz w:val="60"/>
          <w:szCs w:val="60"/>
        </w:rPr>
      </w:pPr>
      <w:proofErr w:type="gramStart"/>
      <w:r>
        <w:rPr>
          <w:rFonts w:ascii="ff2" w:eastAsia="Times New Roman" w:hAnsi="ff2"/>
          <w:color w:val="231F20"/>
          <w:sz w:val="60"/>
          <w:szCs w:val="60"/>
        </w:rPr>
        <w:t xml:space="preserve">learn, </w:t>
      </w:r>
      <w:r>
        <w:rPr>
          <w:rStyle w:val="a"/>
          <w:rFonts w:ascii="ff2" w:eastAsia="Times New Roman" w:hAnsi="ff2"/>
          <w:color w:val="231F20"/>
          <w:sz w:val="60"/>
          <w:szCs w:val="60"/>
        </w:rPr>
        <w:t xml:space="preserve"> </w:t>
      </w:r>
      <w:r>
        <w:rPr>
          <w:rFonts w:ascii="ff2" w:eastAsia="Times New Roman" w:hAnsi="ff2"/>
          <w:color w:val="231F20"/>
          <w:sz w:val="60"/>
          <w:szCs w:val="60"/>
        </w:rPr>
        <w:t>debate</w:t>
      </w:r>
      <w:proofErr w:type="gramEnd"/>
      <w:r>
        <w:rPr>
          <w:rFonts w:ascii="ff2" w:eastAsia="Times New Roman" w:hAnsi="ff2"/>
          <w:color w:val="231F20"/>
          <w:sz w:val="60"/>
          <w:szCs w:val="60"/>
        </w:rPr>
        <w:t xml:space="preserv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about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the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veracity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of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assumptions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about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learner-centered </w:t>
      </w:r>
    </w:p>
    <w:p w14:paraId="686ECCDF"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designs </w:t>
      </w:r>
      <w:proofErr w:type="gramStart"/>
      <w:r>
        <w:rPr>
          <w:rFonts w:ascii="ff2" w:eastAsia="Times New Roman" w:hAnsi="ff2"/>
          <w:color w:val="231F20"/>
          <w:sz w:val="60"/>
          <w:szCs w:val="60"/>
        </w:rPr>
        <w:t>has</w:t>
      </w:r>
      <w:proofErr w:type="gramEnd"/>
      <w:r>
        <w:rPr>
          <w:rFonts w:ascii="ff2" w:eastAsia="Times New Roman" w:hAnsi="ff2"/>
          <w:color w:val="231F20"/>
          <w:sz w:val="60"/>
          <w:szCs w:val="60"/>
        </w:rPr>
        <w:t xml:space="preserve"> re-emerged, with questions arising about the research evidence </w:t>
      </w:r>
    </w:p>
    <w:p w14:paraId="7DB66B43"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available in support of constructivist approaches (see for example, Hirsch, </w:t>
      </w:r>
    </w:p>
    <w:p w14:paraId="5A3DEAE4"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2001; </w:t>
      </w:r>
      <w:proofErr w:type="spellStart"/>
      <w:r>
        <w:rPr>
          <w:rFonts w:ascii="ff2" w:eastAsia="Times New Roman" w:hAnsi="ff2"/>
          <w:color w:val="231F20"/>
          <w:sz w:val="60"/>
          <w:szCs w:val="60"/>
        </w:rPr>
        <w:t>Kirschner</w:t>
      </w:r>
      <w:proofErr w:type="spellEnd"/>
      <w:r>
        <w:rPr>
          <w:rFonts w:ascii="ff2" w:eastAsia="Times New Roman" w:hAnsi="ff2"/>
          <w:color w:val="231F20"/>
          <w:sz w:val="60"/>
          <w:szCs w:val="60"/>
        </w:rPr>
        <w:t xml:space="preserve"> et al., 2006). Indeed, unlike for traditional instruction, </w:t>
      </w:r>
    </w:p>
    <w:p w14:paraId="146908EB"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no unifying theory seems to guide the design of student-centered learning </w:t>
      </w:r>
    </w:p>
    <w:p w14:paraId="1C87DBEA" w14:textId="77777777" w:rsidR="00300EEA" w:rsidRDefault="00300EEA" w:rsidP="00300EEA">
      <w:pPr>
        <w:shd w:val="clear" w:color="auto" w:fill="FFFFFF"/>
        <w:spacing w:line="0" w:lineRule="auto"/>
        <w:rPr>
          <w:rFonts w:ascii="ff2" w:eastAsia="Times New Roman" w:hAnsi="ff2"/>
          <w:color w:val="231F20"/>
          <w:sz w:val="60"/>
          <w:szCs w:val="60"/>
        </w:rPr>
      </w:pPr>
      <w:proofErr w:type="gramStart"/>
      <w:r>
        <w:rPr>
          <w:rFonts w:ascii="ff2" w:eastAsia="Times New Roman" w:hAnsi="ff2"/>
          <w:color w:val="231F20"/>
          <w:sz w:val="60"/>
          <w:szCs w:val="60"/>
        </w:rPr>
        <w:t xml:space="preserve">environments, </w:t>
      </w:r>
      <w:r>
        <w:rPr>
          <w:rStyle w:val="a"/>
          <w:rFonts w:ascii="ff2" w:eastAsia="Times New Roman" w:hAnsi="ff2"/>
          <w:color w:val="231F20"/>
          <w:sz w:val="60"/>
          <w:szCs w:val="60"/>
        </w:rPr>
        <w:t xml:space="preserve"> </w:t>
      </w:r>
      <w:r>
        <w:rPr>
          <w:rFonts w:ascii="ff2" w:eastAsia="Times New Roman" w:hAnsi="ff2"/>
          <w:color w:val="231F20"/>
          <w:sz w:val="60"/>
          <w:szCs w:val="60"/>
        </w:rPr>
        <w:t>which</w:t>
      </w:r>
      <w:proofErr w:type="gramEnd"/>
      <w:r>
        <w:rPr>
          <w:rFonts w:ascii="ff2" w:eastAsia="Times New Roman" w:hAnsi="ff2"/>
          <w:color w:val="231F20"/>
          <w:sz w:val="60"/>
          <w:szCs w:val="60"/>
        </w:rPr>
        <w:t xml:space="preserv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creates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challenges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for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research,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scalability,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and </w:t>
      </w:r>
    </w:p>
    <w:p w14:paraId="230C70DC"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generalizability. </w:t>
      </w:r>
      <w:r>
        <w:rPr>
          <w:rStyle w:val="a"/>
          <w:rFonts w:ascii="ff2" w:eastAsia="Times New Roman" w:hAnsi="ff2"/>
          <w:color w:val="231F20"/>
          <w:sz w:val="60"/>
          <w:szCs w:val="60"/>
        </w:rPr>
        <w:t xml:space="preserve"> </w:t>
      </w:r>
      <w:proofErr w:type="gramStart"/>
      <w:r>
        <w:rPr>
          <w:rFonts w:ascii="ff2" w:eastAsia="Times New Roman" w:hAnsi="ff2"/>
          <w:color w:val="231F20"/>
          <w:sz w:val="60"/>
          <w:szCs w:val="60"/>
        </w:rPr>
        <w:t xml:space="preserve">We </w:t>
      </w:r>
      <w:r>
        <w:rPr>
          <w:rStyle w:val="a"/>
          <w:rFonts w:ascii="ff2" w:eastAsia="Times New Roman" w:hAnsi="ff2"/>
          <w:color w:val="231F20"/>
          <w:sz w:val="60"/>
          <w:szCs w:val="60"/>
        </w:rPr>
        <w:t xml:space="preserve"> </w:t>
      </w:r>
      <w:r>
        <w:rPr>
          <w:rFonts w:ascii="ff2" w:eastAsia="Times New Roman" w:hAnsi="ff2"/>
          <w:color w:val="231F20"/>
          <w:sz w:val="60"/>
          <w:szCs w:val="60"/>
        </w:rPr>
        <w:t>acknowledge</w:t>
      </w:r>
      <w:proofErr w:type="gramEnd"/>
      <w:r>
        <w:rPr>
          <w:rFonts w:ascii="ff2" w:eastAsia="Times New Roman" w:hAnsi="ff2"/>
          <w:color w:val="231F20"/>
          <w:sz w:val="60"/>
          <w:szCs w:val="60"/>
        </w:rPr>
        <w:t xml:space="preserv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the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efficacy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of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varied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approaches </w:t>
      </w:r>
      <w:r>
        <w:rPr>
          <w:rStyle w:val="a"/>
          <w:rFonts w:ascii="ff2" w:eastAsia="Times New Roman" w:hAnsi="ff2"/>
          <w:color w:val="231F20"/>
          <w:sz w:val="60"/>
          <w:szCs w:val="60"/>
        </w:rPr>
        <w:t xml:space="preserve"> </w:t>
      </w:r>
      <w:r>
        <w:rPr>
          <w:rFonts w:ascii="ff2" w:eastAsia="Times New Roman" w:hAnsi="ff2"/>
          <w:color w:val="231F20"/>
          <w:sz w:val="60"/>
          <w:szCs w:val="60"/>
        </w:rPr>
        <w:t xml:space="preserve">to </w:t>
      </w:r>
    </w:p>
    <w:p w14:paraId="2F525B06"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teaching and design, with design decisions being a byproduct of different </w:t>
      </w:r>
    </w:p>
    <w:p w14:paraId="057ACA61"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contexts, tasks, pragmatics, and goals. This chapter focuses on introducing </w:t>
      </w:r>
    </w:p>
    <w:p w14:paraId="52B28C81"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the tenets of student-centered learning environments that are grounded </w:t>
      </w:r>
    </w:p>
    <w:p w14:paraId="26C52395" w14:textId="77777777" w:rsidR="00300EEA" w:rsidRDefault="00300EEA" w:rsidP="00300EEA">
      <w:pPr>
        <w:shd w:val="clear" w:color="auto" w:fill="FFFFFF"/>
        <w:spacing w:line="0" w:lineRule="auto"/>
        <w:rPr>
          <w:rFonts w:ascii="ff2" w:eastAsia="Times New Roman" w:hAnsi="ff2"/>
          <w:color w:val="231F20"/>
          <w:sz w:val="60"/>
          <w:szCs w:val="60"/>
        </w:rPr>
      </w:pPr>
      <w:r>
        <w:rPr>
          <w:rFonts w:ascii="ff2" w:eastAsia="Times New Roman" w:hAnsi="ff2"/>
          <w:color w:val="231F20"/>
          <w:sz w:val="60"/>
          <w:szCs w:val="60"/>
        </w:rPr>
        <w:t xml:space="preserve">in foundations, assumptions, and methods associated with constructivist </w:t>
      </w:r>
    </w:p>
    <w:p w14:paraId="73F2C220" w14:textId="77777777" w:rsidR="00300EEA" w:rsidRDefault="00300EEA" w:rsidP="00300EEA">
      <w:pPr>
        <w:shd w:val="clear" w:color="auto" w:fill="FFFFFF"/>
        <w:spacing w:line="0" w:lineRule="auto"/>
        <w:rPr>
          <w:rFonts w:ascii="ff2" w:eastAsia="Times New Roman" w:hAnsi="ff2"/>
          <w:color w:val="231F20"/>
          <w:sz w:val="60"/>
          <w:szCs w:val="60"/>
        </w:rPr>
      </w:pPr>
      <w:proofErr w:type="spellStart"/>
      <w:r>
        <w:rPr>
          <w:rFonts w:ascii="ff2" w:eastAsia="Times New Roman" w:hAnsi="ff2"/>
          <w:color w:val="231F20"/>
          <w:sz w:val="60"/>
          <w:szCs w:val="60"/>
        </w:rPr>
        <w:t>epistemolog</w:t>
      </w:r>
      <w:proofErr w:type="spellEnd"/>
    </w:p>
    <w:p w14:paraId="0004063A" w14:textId="77777777" w:rsidR="00D12666" w:rsidRDefault="00D12666"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color w:val="000000"/>
          <w:sz w:val="22"/>
          <w:szCs w:val="22"/>
        </w:rPr>
      </w:pPr>
    </w:p>
    <w:p w14:paraId="356F7F5E" w14:textId="77777777" w:rsidR="00D12666" w:rsidRDefault="00D12666"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color w:val="000000"/>
          <w:sz w:val="22"/>
          <w:szCs w:val="22"/>
        </w:rPr>
      </w:pPr>
    </w:p>
    <w:p w14:paraId="3B459569" w14:textId="77777777" w:rsidR="007E4A42" w:rsidRDefault="007E4A42" w:rsidP="00176F7D">
      <w:pPr>
        <w:pStyle w:val="Heading1"/>
      </w:pPr>
      <w:r>
        <w:t>Bibliography</w:t>
      </w:r>
    </w:p>
    <w:p w14:paraId="32BB8A15" w14:textId="0D1B2A9A" w:rsidR="00D12666" w:rsidRPr="00D12666" w:rsidRDefault="00D12666" w:rsidP="00176F7D">
      <w:pPr>
        <w:pStyle w:val="Heading2"/>
      </w:pPr>
      <w:r w:rsidRPr="00D12666">
        <w:t>Primary Sources</w:t>
      </w:r>
    </w:p>
    <w:p w14:paraId="18EABA91"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Bologna Declaration (2001) Joint declaration of the European Ministers of Education, Bologna.</w:t>
      </w:r>
    </w:p>
    <w:p w14:paraId="108DC304"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Budapest-Vienna Declaration of the European Higher Education Area (2010), Budapest – Vienna.</w:t>
      </w:r>
    </w:p>
    <w:p w14:paraId="297F1971"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Bergen Communiqué (2005) ‘</w:t>
      </w:r>
      <w:r w:rsidRPr="00882C31">
        <w:rPr>
          <w:i/>
          <w:iCs/>
          <w:color w:val="000000"/>
        </w:rPr>
        <w:t>The European Higher Education Area - Achieving the Goals</w:t>
      </w:r>
      <w:r w:rsidRPr="00882C31">
        <w:rPr>
          <w:color w:val="000000"/>
        </w:rPr>
        <w:t>. Communiqué of the Conference of European Ministers Responsible for Higher Education’, Bergen.</w:t>
      </w:r>
    </w:p>
    <w:p w14:paraId="0BFFC53E" w14:textId="11B2ABA6"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Berlin Communiqué (2003) ‘</w:t>
      </w:r>
      <w:proofErr w:type="spellStart"/>
      <w:r w:rsidRPr="00882C31">
        <w:rPr>
          <w:i/>
          <w:iCs/>
          <w:color w:val="000000"/>
        </w:rPr>
        <w:t>Realising</w:t>
      </w:r>
      <w:proofErr w:type="spellEnd"/>
      <w:r w:rsidRPr="00882C31">
        <w:rPr>
          <w:i/>
          <w:iCs/>
          <w:color w:val="000000"/>
        </w:rPr>
        <w:t xml:space="preserve"> the European Higher Education Area</w:t>
      </w:r>
      <w:r w:rsidR="00882C31">
        <w:rPr>
          <w:color w:val="000000"/>
        </w:rPr>
        <w:t>’</w:t>
      </w:r>
      <w:r w:rsidRPr="00882C31">
        <w:rPr>
          <w:color w:val="000000"/>
        </w:rPr>
        <w:t xml:space="preserve">. Communiqué of the Conference of Ministers responsible for Higher Education’, Berlin. </w:t>
      </w:r>
    </w:p>
    <w:p w14:paraId="6E3E900C"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Bucharest Communiqué (2012) ‘</w:t>
      </w:r>
      <w:r w:rsidRPr="00882C31">
        <w:rPr>
          <w:i/>
          <w:iCs/>
          <w:color w:val="000000"/>
        </w:rPr>
        <w:t>Making the Most of Our Potential: Consolidating the European Higher Education Area’</w:t>
      </w:r>
      <w:r w:rsidRPr="00882C31">
        <w:rPr>
          <w:color w:val="000000"/>
        </w:rPr>
        <w:t xml:space="preserve">, Bucharest. </w:t>
      </w:r>
    </w:p>
    <w:p w14:paraId="60858780"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ESU &amp; EI (2010a) </w:t>
      </w:r>
      <w:r w:rsidRPr="00882C31">
        <w:rPr>
          <w:i/>
          <w:iCs/>
          <w:color w:val="000000"/>
        </w:rPr>
        <w:t>Student-</w:t>
      </w:r>
      <w:proofErr w:type="spellStart"/>
      <w:r w:rsidRPr="00882C31">
        <w:rPr>
          <w:i/>
          <w:iCs/>
          <w:color w:val="000000"/>
        </w:rPr>
        <w:t>Centred</w:t>
      </w:r>
      <w:proofErr w:type="spellEnd"/>
      <w:r w:rsidRPr="00882C31">
        <w:rPr>
          <w:i/>
          <w:iCs/>
          <w:color w:val="000000"/>
        </w:rPr>
        <w:t xml:space="preserve"> Learning: An Insight into Theory and Practice</w:t>
      </w:r>
      <w:r w:rsidRPr="00882C31">
        <w:rPr>
          <w:color w:val="000000"/>
        </w:rPr>
        <w:t xml:space="preserve">, Brussels: </w:t>
      </w:r>
      <w:r w:rsidRPr="00882C31">
        <w:rPr>
          <w:color w:val="000000"/>
        </w:rPr>
        <w:lastRenderedPageBreak/>
        <w:t>European Students' Union and Education International.</w:t>
      </w:r>
    </w:p>
    <w:p w14:paraId="4DE77CD8" w14:textId="076FADBE"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ESU &amp; EI (2010</w:t>
      </w:r>
      <w:r w:rsidR="00033EBC">
        <w:rPr>
          <w:color w:val="000000"/>
        </w:rPr>
        <w:t>b</w:t>
      </w:r>
      <w:r w:rsidRPr="00882C31">
        <w:rPr>
          <w:color w:val="000000"/>
        </w:rPr>
        <w:t xml:space="preserve">) </w:t>
      </w:r>
      <w:r w:rsidRPr="00882C31">
        <w:rPr>
          <w:i/>
          <w:iCs/>
          <w:color w:val="000000"/>
        </w:rPr>
        <w:t xml:space="preserve">Survey Analysis Time </w:t>
      </w:r>
      <w:proofErr w:type="gramStart"/>
      <w:r w:rsidRPr="00882C31">
        <w:rPr>
          <w:i/>
          <w:iCs/>
          <w:color w:val="000000"/>
        </w:rPr>
        <w:t>For</w:t>
      </w:r>
      <w:proofErr w:type="gramEnd"/>
      <w:r w:rsidRPr="00882C31">
        <w:rPr>
          <w:i/>
          <w:iCs/>
          <w:color w:val="000000"/>
        </w:rPr>
        <w:t xml:space="preserve"> Student Centered Learning</w:t>
      </w:r>
      <w:r w:rsidRPr="00882C31">
        <w:rPr>
          <w:color w:val="000000"/>
        </w:rPr>
        <w:t>, Brussels: European Students' Union &amp; Education International.</w:t>
      </w:r>
    </w:p>
    <w:p w14:paraId="58FB17FB" w14:textId="7480149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ESU (2016) </w:t>
      </w:r>
      <w:r w:rsidRPr="00882C31">
        <w:rPr>
          <w:i/>
          <w:iCs/>
          <w:color w:val="000000"/>
        </w:rPr>
        <w:t>Contribution of the European Students’ Union (ESU) to the public consultation on a renewed</w:t>
      </w:r>
      <w:r w:rsidR="00033EBC">
        <w:rPr>
          <w:color w:val="000000"/>
        </w:rPr>
        <w:t xml:space="preserve"> </w:t>
      </w:r>
      <w:proofErr w:type="spellStart"/>
      <w:r w:rsidRPr="00882C31">
        <w:rPr>
          <w:i/>
          <w:iCs/>
          <w:color w:val="000000"/>
        </w:rPr>
        <w:t>Modernisation</w:t>
      </w:r>
      <w:proofErr w:type="spellEnd"/>
      <w:r w:rsidRPr="00882C31">
        <w:rPr>
          <w:i/>
          <w:iCs/>
          <w:color w:val="000000"/>
        </w:rPr>
        <w:t xml:space="preserve"> Agenda for Higher Education in the European Union</w:t>
      </w:r>
      <w:r w:rsidRPr="00882C31">
        <w:rPr>
          <w:color w:val="000000"/>
        </w:rPr>
        <w:t xml:space="preserve">, 1 March 2016, Brussels: European Students’ Union. </w:t>
      </w:r>
    </w:p>
    <w:p w14:paraId="33D3EC2C"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EUA (2003) </w:t>
      </w:r>
      <w:r w:rsidRPr="00882C31">
        <w:rPr>
          <w:i/>
          <w:iCs/>
          <w:color w:val="000000"/>
        </w:rPr>
        <w:t>Graz Declaration: the role of the universities to 2010 and beyond</w:t>
      </w:r>
      <w:r w:rsidRPr="00882C31">
        <w:rPr>
          <w:color w:val="000000"/>
        </w:rPr>
        <w:t xml:space="preserve">, Leuven, 4 July 2003, Brussels: European University Association. </w:t>
      </w:r>
    </w:p>
    <w:p w14:paraId="37605C7C"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EUA (2016) </w:t>
      </w:r>
      <w:r w:rsidRPr="00882C31">
        <w:rPr>
          <w:i/>
          <w:iCs/>
          <w:color w:val="000000"/>
        </w:rPr>
        <w:t xml:space="preserve">EUA’s Response to the Consultation on the Revision of the EU’s </w:t>
      </w:r>
      <w:proofErr w:type="spellStart"/>
      <w:r w:rsidRPr="00882C31">
        <w:rPr>
          <w:i/>
          <w:iCs/>
          <w:color w:val="000000"/>
        </w:rPr>
        <w:t>Modernisation</w:t>
      </w:r>
      <w:proofErr w:type="spellEnd"/>
      <w:r w:rsidRPr="00882C31">
        <w:rPr>
          <w:i/>
          <w:iCs/>
          <w:color w:val="000000"/>
        </w:rPr>
        <w:t xml:space="preserve"> Agenda</w:t>
      </w:r>
      <w:r w:rsidRPr="00882C31">
        <w:rPr>
          <w:color w:val="000000"/>
        </w:rPr>
        <w:t>, March 2016, Brussels: European University Association.</w:t>
      </w:r>
    </w:p>
    <w:p w14:paraId="06C8CB61"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European Commission/EACEA/Eurydice (2012) </w:t>
      </w:r>
      <w:r w:rsidRPr="00882C31">
        <w:rPr>
          <w:i/>
          <w:iCs/>
          <w:color w:val="000000"/>
        </w:rPr>
        <w:t>The European Higher Education Area in 2012: Bologna Process Implementation Report</w:t>
      </w:r>
      <w:r w:rsidRPr="00882C31">
        <w:rPr>
          <w:color w:val="000000"/>
        </w:rPr>
        <w:t>, Luxembourg: Publications Office of the European Union.</w:t>
      </w:r>
    </w:p>
    <w:p w14:paraId="602F02E8"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European Commission/EACEA/Eurydice (2015) </w:t>
      </w:r>
      <w:r w:rsidRPr="00882C31">
        <w:rPr>
          <w:i/>
          <w:iCs/>
          <w:color w:val="000000"/>
        </w:rPr>
        <w:t>The European Higher Education Area in 2015: Bologna Process Implementation Report</w:t>
      </w:r>
      <w:r w:rsidRPr="00882C31">
        <w:rPr>
          <w:color w:val="000000"/>
        </w:rPr>
        <w:t>. Luxembourg: Publications Office of the European Union.</w:t>
      </w:r>
    </w:p>
    <w:p w14:paraId="068F60BE"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European Commission (2003) ‘</w:t>
      </w:r>
      <w:r w:rsidRPr="00882C31">
        <w:rPr>
          <w:i/>
          <w:iCs/>
          <w:color w:val="000000"/>
        </w:rPr>
        <w:t>The role of the universities in the Europe of knowledge’</w:t>
      </w:r>
      <w:r w:rsidRPr="00882C31">
        <w:rPr>
          <w:color w:val="000000"/>
        </w:rPr>
        <w:t xml:space="preserve">, </w:t>
      </w:r>
      <w:proofErr w:type="gramStart"/>
      <w:r w:rsidRPr="00882C31">
        <w:rPr>
          <w:color w:val="000000"/>
        </w:rPr>
        <w:t>COM(</w:t>
      </w:r>
      <w:proofErr w:type="gramEnd"/>
      <w:r w:rsidRPr="00882C31">
        <w:rPr>
          <w:color w:val="000000"/>
        </w:rPr>
        <w:t xml:space="preserve">2003) 58 final, Brussels: European Commission. </w:t>
      </w:r>
    </w:p>
    <w:p w14:paraId="457F0010"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European Commission (2005) ‘</w:t>
      </w:r>
      <w:proofErr w:type="spellStart"/>
      <w:r w:rsidRPr="00882C31">
        <w:rPr>
          <w:i/>
          <w:iCs/>
          <w:color w:val="000000"/>
        </w:rPr>
        <w:t>Mobilising</w:t>
      </w:r>
      <w:proofErr w:type="spellEnd"/>
      <w:r w:rsidRPr="00882C31">
        <w:rPr>
          <w:i/>
          <w:iCs/>
          <w:color w:val="000000"/>
        </w:rPr>
        <w:t xml:space="preserve"> the brainpower of Europe: enabling universities to make their full contribution to the Lisbon Strategy</w:t>
      </w:r>
      <w:r w:rsidRPr="00882C31">
        <w:rPr>
          <w:color w:val="000000"/>
        </w:rPr>
        <w:t xml:space="preserve">’, </w:t>
      </w:r>
      <w:proofErr w:type="gramStart"/>
      <w:r w:rsidRPr="00882C31">
        <w:rPr>
          <w:color w:val="000000"/>
        </w:rPr>
        <w:t>COM(</w:t>
      </w:r>
      <w:proofErr w:type="gramEnd"/>
      <w:r w:rsidRPr="00882C31">
        <w:rPr>
          <w:color w:val="000000"/>
        </w:rPr>
        <w:t xml:space="preserve">2005) 152 final, Brussels: European Commission. </w:t>
      </w:r>
    </w:p>
    <w:p w14:paraId="343231A4"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European Commission (2006) ‘</w:t>
      </w:r>
      <w:r w:rsidRPr="00882C31">
        <w:rPr>
          <w:i/>
          <w:iCs/>
          <w:color w:val="000000"/>
        </w:rPr>
        <w:t xml:space="preserve">Delivering on the </w:t>
      </w:r>
      <w:proofErr w:type="spellStart"/>
      <w:r w:rsidRPr="00882C31">
        <w:rPr>
          <w:i/>
          <w:iCs/>
          <w:color w:val="000000"/>
        </w:rPr>
        <w:t>Modernisation</w:t>
      </w:r>
      <w:proofErr w:type="spellEnd"/>
      <w:r w:rsidRPr="00882C31">
        <w:rPr>
          <w:i/>
          <w:iCs/>
          <w:color w:val="000000"/>
        </w:rPr>
        <w:t xml:space="preserve"> Agenda for Universities: Education, Research and Innovation</w:t>
      </w:r>
      <w:r w:rsidRPr="00882C31">
        <w:rPr>
          <w:color w:val="000000"/>
        </w:rPr>
        <w:t>’</w:t>
      </w:r>
      <w:r w:rsidRPr="00882C31">
        <w:rPr>
          <w:i/>
          <w:iCs/>
          <w:color w:val="000000"/>
        </w:rPr>
        <w:t xml:space="preserve">, </w:t>
      </w:r>
      <w:proofErr w:type="gramStart"/>
      <w:r w:rsidRPr="00882C31">
        <w:rPr>
          <w:color w:val="000000"/>
        </w:rPr>
        <w:t>COM(</w:t>
      </w:r>
      <w:proofErr w:type="gramEnd"/>
      <w:r w:rsidRPr="00882C31">
        <w:rPr>
          <w:color w:val="000000"/>
        </w:rPr>
        <w:t xml:space="preserve">2006) 208 final,  Brussels: European Commission. </w:t>
      </w:r>
    </w:p>
    <w:p w14:paraId="04A73387"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European Commission (2011) ‘</w:t>
      </w:r>
      <w:r w:rsidRPr="00882C31">
        <w:rPr>
          <w:i/>
          <w:iCs/>
          <w:color w:val="000000"/>
        </w:rPr>
        <w:t xml:space="preserve">Supporting growth and jobs – an agenda for the </w:t>
      </w:r>
      <w:proofErr w:type="spellStart"/>
      <w:r w:rsidRPr="00882C31">
        <w:rPr>
          <w:i/>
          <w:iCs/>
          <w:color w:val="000000"/>
        </w:rPr>
        <w:t>modernisation</w:t>
      </w:r>
      <w:proofErr w:type="spellEnd"/>
      <w:r w:rsidRPr="00882C31">
        <w:rPr>
          <w:i/>
          <w:iCs/>
          <w:color w:val="000000"/>
        </w:rPr>
        <w:t xml:space="preserve"> of Europe's higher education systems</w:t>
      </w:r>
      <w:r w:rsidRPr="00882C31">
        <w:rPr>
          <w:color w:val="000000"/>
        </w:rPr>
        <w:t xml:space="preserve">’, </w:t>
      </w:r>
      <w:proofErr w:type="gramStart"/>
      <w:r w:rsidRPr="00882C31">
        <w:rPr>
          <w:color w:val="000000"/>
        </w:rPr>
        <w:t>COM(</w:t>
      </w:r>
      <w:proofErr w:type="gramEnd"/>
      <w:r w:rsidRPr="00882C31">
        <w:rPr>
          <w:color w:val="000000"/>
        </w:rPr>
        <w:t>2011) 567 final,  Brussels: European Commission.</w:t>
      </w:r>
    </w:p>
    <w:p w14:paraId="1D707871"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European Commission (2013) </w:t>
      </w:r>
      <w:r w:rsidRPr="00882C31">
        <w:rPr>
          <w:i/>
          <w:iCs/>
          <w:color w:val="000000"/>
        </w:rPr>
        <w:t>Report to the European Commission on improving the quality of teaching and learning in Europe’s higher education institutions</w:t>
      </w:r>
      <w:r w:rsidRPr="00882C31">
        <w:rPr>
          <w:color w:val="000000"/>
        </w:rPr>
        <w:t>, Luxembourg: Publications Office of the European Union.</w:t>
      </w:r>
    </w:p>
    <w:p w14:paraId="7EC95BF1"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European Commission (2014) </w:t>
      </w:r>
      <w:r w:rsidRPr="00882C31">
        <w:rPr>
          <w:i/>
          <w:iCs/>
          <w:color w:val="000000"/>
        </w:rPr>
        <w:t>Report to the European Commission on new modes of learning and teaching in higher education</w:t>
      </w:r>
      <w:r w:rsidRPr="00882C31">
        <w:rPr>
          <w:color w:val="000000"/>
        </w:rPr>
        <w:t>, Luxembourg: Publications Office of the European Union.</w:t>
      </w:r>
    </w:p>
    <w:p w14:paraId="0DD9250A"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European Union (2015) </w:t>
      </w:r>
      <w:r w:rsidRPr="00882C31">
        <w:rPr>
          <w:i/>
          <w:iCs/>
          <w:color w:val="000000"/>
        </w:rPr>
        <w:t>ECTS Users’ Guide</w:t>
      </w:r>
      <w:r w:rsidRPr="00882C31">
        <w:rPr>
          <w:color w:val="000000"/>
        </w:rPr>
        <w:t xml:space="preserve">, Luxembourg: Publications Office of the European Union, 2015. </w:t>
      </w:r>
    </w:p>
    <w:p w14:paraId="61C09E7C"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Leuven Communiqué (2009) ‘</w:t>
      </w:r>
      <w:r w:rsidRPr="00882C31">
        <w:rPr>
          <w:i/>
          <w:iCs/>
          <w:color w:val="000000"/>
        </w:rPr>
        <w:t>The Bologna Process 2020 -The European Higher Education Area in the new decade</w:t>
      </w:r>
      <w:r w:rsidRPr="00882C31">
        <w:rPr>
          <w:color w:val="000000"/>
        </w:rPr>
        <w:t xml:space="preserve">. Communiqué of the Conference of European Ministers Responsible for Higher </w:t>
      </w:r>
      <w:r w:rsidRPr="00882C31">
        <w:rPr>
          <w:color w:val="000000"/>
        </w:rPr>
        <w:lastRenderedPageBreak/>
        <w:t>Education’, Leuven.</w:t>
      </w:r>
    </w:p>
    <w:p w14:paraId="358CD842"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London Communiqué (2007) ‘</w:t>
      </w:r>
      <w:r w:rsidRPr="00882C31">
        <w:rPr>
          <w:i/>
          <w:iCs/>
          <w:color w:val="000000"/>
        </w:rPr>
        <w:t xml:space="preserve">Towards the European Higher Education Area: responding to challenges in a </w:t>
      </w:r>
      <w:proofErr w:type="spellStart"/>
      <w:r w:rsidRPr="00882C31">
        <w:rPr>
          <w:i/>
          <w:iCs/>
          <w:color w:val="000000"/>
        </w:rPr>
        <w:t>globalised</w:t>
      </w:r>
      <w:proofErr w:type="spellEnd"/>
      <w:r w:rsidRPr="00882C31">
        <w:rPr>
          <w:i/>
          <w:iCs/>
          <w:color w:val="000000"/>
        </w:rPr>
        <w:t xml:space="preserve"> world</w:t>
      </w:r>
      <w:r w:rsidRPr="00882C31">
        <w:rPr>
          <w:color w:val="000000"/>
        </w:rPr>
        <w:t>’, London.</w:t>
      </w:r>
    </w:p>
    <w:p w14:paraId="0150E730"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Prague Communiqué (2001) ‘Towards the European Higher Education Area’, Prague.</w:t>
      </w:r>
    </w:p>
    <w:p w14:paraId="5EEB5A7C"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Standards and Guidelines for Quality Assurance in the European Higher Education Area (ESG) (2015) Brussels, Belgium.</w:t>
      </w:r>
    </w:p>
    <w:p w14:paraId="05FB3977"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Standards and Guidelines for Quality Assurance in the European Higher Education Area (ESG) (2009) Brussels, Belgium.</w:t>
      </w:r>
    </w:p>
    <w:p w14:paraId="1B000C81" w14:textId="11D84BB9"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Standards and Guidelines for Quality Assurance in the European Higher Education Area (ESG) (2005) Brussels, Belgium</w:t>
      </w:r>
    </w:p>
    <w:p w14:paraId="7067713E" w14:textId="77777777" w:rsidR="00D12666" w:rsidRPr="00882C31"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sidRPr="00882C31">
        <w:rPr>
          <w:color w:val="000000"/>
        </w:rPr>
        <w:t>Yerevan Communiqué (2015), Yerevan.</w:t>
      </w:r>
    </w:p>
    <w:p w14:paraId="31DDA23E" w14:textId="77777777" w:rsidR="00D12666" w:rsidRDefault="00D12666" w:rsidP="00D12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sz w:val="22"/>
          <w:szCs w:val="22"/>
        </w:rPr>
      </w:pPr>
    </w:p>
    <w:p w14:paraId="5FAD0EBC" w14:textId="6BEC6E61" w:rsidR="00D12666" w:rsidRPr="00D12666" w:rsidRDefault="00D12666" w:rsidP="00176F7D">
      <w:pPr>
        <w:pStyle w:val="Heading2"/>
      </w:pPr>
      <w:r w:rsidRPr="00D12666">
        <w:t>Secondary Sources</w:t>
      </w:r>
    </w:p>
    <w:p w14:paraId="7781A66C"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Ashwin, P. and D. </w:t>
      </w:r>
      <w:proofErr w:type="spellStart"/>
      <w:r w:rsidRPr="00882C31">
        <w:rPr>
          <w:color w:val="000000"/>
        </w:rPr>
        <w:t>McVitty</w:t>
      </w:r>
      <w:proofErr w:type="spellEnd"/>
      <w:r w:rsidRPr="00882C31">
        <w:rPr>
          <w:color w:val="000000"/>
        </w:rPr>
        <w:t xml:space="preserve"> (2015) ‘The meanings of student engagement: implications for policies and practices’, in R. </w:t>
      </w:r>
      <w:proofErr w:type="spellStart"/>
      <w:r w:rsidRPr="00882C31">
        <w:rPr>
          <w:color w:val="000000"/>
        </w:rPr>
        <w:t>Pricopie</w:t>
      </w:r>
      <w:proofErr w:type="spellEnd"/>
      <w:r w:rsidRPr="00882C31">
        <w:rPr>
          <w:color w:val="000000"/>
        </w:rPr>
        <w:t xml:space="preserve">, P. Scott, J. </w:t>
      </w:r>
      <w:proofErr w:type="spellStart"/>
      <w:r w:rsidRPr="00882C31">
        <w:rPr>
          <w:color w:val="000000"/>
        </w:rPr>
        <w:t>Salmi</w:t>
      </w:r>
      <w:proofErr w:type="spellEnd"/>
      <w:r w:rsidRPr="00882C31">
        <w:rPr>
          <w:color w:val="000000"/>
        </w:rPr>
        <w:t xml:space="preserve"> and A. </w:t>
      </w:r>
      <w:proofErr w:type="spellStart"/>
      <w:r w:rsidRPr="00882C31">
        <w:rPr>
          <w:color w:val="000000"/>
        </w:rPr>
        <w:t>Curaj</w:t>
      </w:r>
      <w:proofErr w:type="spellEnd"/>
      <w:r w:rsidRPr="00882C31">
        <w:rPr>
          <w:color w:val="000000"/>
        </w:rPr>
        <w:t xml:space="preserve"> (</w:t>
      </w:r>
      <w:proofErr w:type="spellStart"/>
      <w:r w:rsidRPr="00882C31">
        <w:rPr>
          <w:color w:val="000000"/>
        </w:rPr>
        <w:t>eds</w:t>
      </w:r>
      <w:proofErr w:type="spellEnd"/>
      <w:r w:rsidRPr="00882C31">
        <w:rPr>
          <w:color w:val="000000"/>
        </w:rPr>
        <w:t xml:space="preserve">) </w:t>
      </w:r>
      <w:r w:rsidRPr="00882C31">
        <w:rPr>
          <w:i/>
          <w:iCs/>
          <w:color w:val="000000"/>
        </w:rPr>
        <w:t>The European Higher Education Area: Between Critical Reflection and Future Policies</w:t>
      </w:r>
      <w:r w:rsidRPr="00882C31">
        <w:rPr>
          <w:color w:val="000000"/>
        </w:rPr>
        <w:t>, Netherlands: Springer, pp. 351-366.</w:t>
      </w:r>
    </w:p>
    <w:p w14:paraId="2DFFDAF9"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Bandura A. (2001) Social cognitive theory: an agentic perspective, </w:t>
      </w:r>
      <w:r w:rsidRPr="00882C31">
        <w:rPr>
          <w:i/>
          <w:iCs/>
          <w:color w:val="000000"/>
        </w:rPr>
        <w:t>Annual Review of Psychology</w:t>
      </w:r>
      <w:r w:rsidRPr="00882C31">
        <w:rPr>
          <w:color w:val="000000"/>
        </w:rPr>
        <w:t xml:space="preserve"> 52: 1-26.</w:t>
      </w:r>
    </w:p>
    <w:p w14:paraId="14C693C7"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Bourdieu, P. (1984) </w:t>
      </w:r>
      <w:r w:rsidRPr="00882C31">
        <w:rPr>
          <w:i/>
          <w:iCs/>
          <w:color w:val="000000"/>
        </w:rPr>
        <w:t>Distinction: A Social Critique of the Judgement of Taste</w:t>
      </w:r>
      <w:r w:rsidRPr="00882C31">
        <w:rPr>
          <w:color w:val="000000"/>
        </w:rPr>
        <w:t>, London: Routledge.</w:t>
      </w:r>
    </w:p>
    <w:p w14:paraId="62B5F121" w14:textId="27BC8B51" w:rsidR="00B3287A" w:rsidRDefault="007E4A42" w:rsidP="008833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Bromley, P., J. W. Meyer, and F. Ramirez (2011) “Student-Centeredness in Social Science Textbooks: Cross-National Analyses, 1970-2005, Social Forces 90(2): 1-24.</w:t>
      </w:r>
    </w:p>
    <w:p w14:paraId="67569221" w14:textId="77777777" w:rsidR="007E4A42"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r w:rsidRPr="00882C31">
        <w:rPr>
          <w:color w:val="000000"/>
        </w:rPr>
        <w:t>Emirbayer</w:t>
      </w:r>
      <w:proofErr w:type="spellEnd"/>
      <w:r w:rsidRPr="00882C31">
        <w:rPr>
          <w:color w:val="000000"/>
        </w:rPr>
        <w:t xml:space="preserve"> M. and </w:t>
      </w:r>
      <w:proofErr w:type="spellStart"/>
      <w:r w:rsidRPr="00882C31">
        <w:rPr>
          <w:color w:val="000000"/>
        </w:rPr>
        <w:t>Mische</w:t>
      </w:r>
      <w:proofErr w:type="spellEnd"/>
      <w:r w:rsidRPr="00882C31">
        <w:rPr>
          <w:color w:val="000000"/>
        </w:rPr>
        <w:t xml:space="preserve"> A. (1998) What is </w:t>
      </w:r>
      <w:proofErr w:type="gramStart"/>
      <w:r w:rsidRPr="00882C31">
        <w:rPr>
          <w:color w:val="000000"/>
        </w:rPr>
        <w:t>agency?,</w:t>
      </w:r>
      <w:proofErr w:type="gramEnd"/>
      <w:r w:rsidRPr="00882C31">
        <w:rPr>
          <w:color w:val="000000"/>
        </w:rPr>
        <w:t xml:space="preserve"> </w:t>
      </w:r>
      <w:r w:rsidRPr="00882C31">
        <w:rPr>
          <w:i/>
          <w:iCs/>
          <w:color w:val="000000"/>
        </w:rPr>
        <w:t>American Journal of Sociology</w:t>
      </w:r>
      <w:r w:rsidRPr="00882C31">
        <w:rPr>
          <w:color w:val="000000"/>
        </w:rPr>
        <w:t xml:space="preserve"> 103(4): 962-1023.</w:t>
      </w:r>
    </w:p>
    <w:p w14:paraId="7E8C0ADC" w14:textId="0C5AC8F8" w:rsidR="007B07C4" w:rsidRPr="007B07C4" w:rsidRDefault="007B07C4" w:rsidP="007B07C4">
      <w:pPr>
        <w:widowControl w:val="0"/>
        <w:autoSpaceDE w:val="0"/>
        <w:autoSpaceDN w:val="0"/>
        <w:adjustRightInd w:val="0"/>
      </w:pPr>
      <w:proofErr w:type="spellStart"/>
      <w:r w:rsidRPr="007B07C4">
        <w:t>Ewell</w:t>
      </w:r>
      <w:proofErr w:type="spellEnd"/>
      <w:r w:rsidRPr="007B07C4">
        <w:t>, P. T. (2009). Assessment, accountability, and improvement: Revisiting the tension. Occasional paper no 1. Champaign, Illinois: National Institute for Learning Outcomes.</w:t>
      </w:r>
    </w:p>
    <w:p w14:paraId="11DC7B02" w14:textId="77777777" w:rsidR="007B07C4" w:rsidRPr="007B07C4" w:rsidRDefault="007B07C4" w:rsidP="007B07C4">
      <w:pPr>
        <w:widowControl w:val="0"/>
        <w:autoSpaceDE w:val="0"/>
        <w:autoSpaceDN w:val="0"/>
        <w:adjustRightInd w:val="0"/>
        <w:rPr>
          <w:sz w:val="17"/>
          <w:szCs w:val="17"/>
        </w:rPr>
      </w:pPr>
    </w:p>
    <w:p w14:paraId="3E93116F"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r w:rsidRPr="00882C31">
        <w:rPr>
          <w:color w:val="000000"/>
        </w:rPr>
        <w:t>Geven</w:t>
      </w:r>
      <w:proofErr w:type="spellEnd"/>
      <w:r w:rsidRPr="00882C31">
        <w:rPr>
          <w:color w:val="000000"/>
        </w:rPr>
        <w:t xml:space="preserve">, K. and </w:t>
      </w:r>
      <w:proofErr w:type="spellStart"/>
      <w:r w:rsidRPr="00882C31">
        <w:rPr>
          <w:color w:val="000000"/>
        </w:rPr>
        <w:t>Attard</w:t>
      </w:r>
      <w:proofErr w:type="spellEnd"/>
      <w:r w:rsidRPr="00882C31">
        <w:rPr>
          <w:color w:val="000000"/>
        </w:rPr>
        <w:t>, A. (2012) ‘Time for Student-</w:t>
      </w:r>
      <w:proofErr w:type="spellStart"/>
      <w:r w:rsidRPr="00882C31">
        <w:rPr>
          <w:color w:val="000000"/>
        </w:rPr>
        <w:t>Centred</w:t>
      </w:r>
      <w:proofErr w:type="spellEnd"/>
      <w:r w:rsidRPr="00882C31">
        <w:rPr>
          <w:color w:val="000000"/>
        </w:rPr>
        <w:t xml:space="preserve"> </w:t>
      </w:r>
      <w:proofErr w:type="gramStart"/>
      <w:r w:rsidRPr="00882C31">
        <w:rPr>
          <w:color w:val="000000"/>
        </w:rPr>
        <w:t>Learning?,</w:t>
      </w:r>
      <w:proofErr w:type="gramEnd"/>
      <w:r w:rsidRPr="00882C31">
        <w:rPr>
          <w:color w:val="000000"/>
        </w:rPr>
        <w:t xml:space="preserve"> in </w:t>
      </w:r>
      <w:proofErr w:type="spellStart"/>
      <w:r w:rsidRPr="00882C31">
        <w:rPr>
          <w:color w:val="000000"/>
        </w:rPr>
        <w:t>Curaj</w:t>
      </w:r>
      <w:proofErr w:type="spellEnd"/>
      <w:r w:rsidRPr="00882C31">
        <w:rPr>
          <w:color w:val="000000"/>
        </w:rPr>
        <w:t xml:space="preserve">, A., Scott, P., </w:t>
      </w:r>
      <w:proofErr w:type="spellStart"/>
      <w:r w:rsidRPr="00882C31">
        <w:rPr>
          <w:color w:val="000000"/>
        </w:rPr>
        <w:t>Vlasceanu</w:t>
      </w:r>
      <w:proofErr w:type="spellEnd"/>
      <w:r w:rsidRPr="00882C31">
        <w:rPr>
          <w:color w:val="000000"/>
        </w:rPr>
        <w:t>, L., and Wilson, L. (</w:t>
      </w:r>
      <w:proofErr w:type="spellStart"/>
      <w:r w:rsidRPr="00882C31">
        <w:rPr>
          <w:color w:val="000000"/>
        </w:rPr>
        <w:t>eds</w:t>
      </w:r>
      <w:proofErr w:type="spellEnd"/>
      <w:r w:rsidRPr="00882C31">
        <w:rPr>
          <w:color w:val="000000"/>
        </w:rPr>
        <w:t xml:space="preserve">) </w:t>
      </w:r>
      <w:r w:rsidRPr="00882C31">
        <w:rPr>
          <w:i/>
          <w:iCs/>
          <w:color w:val="000000"/>
        </w:rPr>
        <w:t>European higher education at the crossroads: between the Bologna Process and national reforms</w:t>
      </w:r>
      <w:r w:rsidRPr="00882C31">
        <w:rPr>
          <w:color w:val="000000"/>
        </w:rPr>
        <w:t>, Dordrecht, Netherlands: Springer, pp. 153-172.</w:t>
      </w:r>
    </w:p>
    <w:p w14:paraId="3B0B0CDA"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Grigsby, M. (2009) </w:t>
      </w:r>
      <w:r w:rsidRPr="00882C31">
        <w:rPr>
          <w:i/>
          <w:iCs/>
          <w:color w:val="000000"/>
        </w:rPr>
        <w:t>College Life through the Eye of Students</w:t>
      </w:r>
      <w:r w:rsidRPr="00882C31">
        <w:rPr>
          <w:color w:val="000000"/>
        </w:rPr>
        <w:t>, Albany: SUNY Press.</w:t>
      </w:r>
    </w:p>
    <w:p w14:paraId="31F8CD08"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Hall, P. A., and Lamont, M. (2009) </w:t>
      </w:r>
      <w:r w:rsidRPr="00882C31">
        <w:rPr>
          <w:i/>
          <w:iCs/>
          <w:color w:val="000000"/>
        </w:rPr>
        <w:t>Successful Societies: How Institutions and Culture Affect Health</w:t>
      </w:r>
      <w:r w:rsidRPr="00882C31">
        <w:rPr>
          <w:color w:val="000000"/>
        </w:rPr>
        <w:t>, Cambridge: Cambridge University Press.</w:t>
      </w:r>
    </w:p>
    <w:p w14:paraId="30DE6A79"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proofErr w:type="gramStart"/>
      <w:r w:rsidRPr="00882C31">
        <w:rPr>
          <w:color w:val="000000"/>
        </w:rPr>
        <w:t>Kirschner</w:t>
      </w:r>
      <w:proofErr w:type="spellEnd"/>
      <w:r w:rsidRPr="00882C31">
        <w:rPr>
          <w:color w:val="000000"/>
        </w:rPr>
        <w:t xml:space="preserve"> ,</w:t>
      </w:r>
      <w:proofErr w:type="gramEnd"/>
      <w:r w:rsidRPr="00882C31">
        <w:rPr>
          <w:color w:val="000000"/>
        </w:rPr>
        <w:t xml:space="preserve"> P. A., J. </w:t>
      </w:r>
      <w:proofErr w:type="spellStart"/>
      <w:r w:rsidRPr="00882C31">
        <w:rPr>
          <w:color w:val="000000"/>
        </w:rPr>
        <w:t>Sweller</w:t>
      </w:r>
      <w:proofErr w:type="spellEnd"/>
      <w:r w:rsidRPr="00882C31">
        <w:rPr>
          <w:color w:val="000000"/>
        </w:rPr>
        <w:t xml:space="preserve"> &amp; R. E. Clark (2006) Why Minimal Guidance During Instruction Does </w:t>
      </w:r>
      <w:r w:rsidRPr="00882C31">
        <w:rPr>
          <w:color w:val="000000"/>
        </w:rPr>
        <w:lastRenderedPageBreak/>
        <w:t xml:space="preserve">Not Work: An Analysis of the Failure of Constructivist, Discovery, Problem-Based, Experiential, and Inquiry-Based Teaching, </w:t>
      </w:r>
      <w:r w:rsidRPr="00882C31">
        <w:rPr>
          <w:i/>
          <w:iCs/>
          <w:color w:val="000000"/>
        </w:rPr>
        <w:t>Educational Psychologist</w:t>
      </w:r>
      <w:r w:rsidRPr="00882C31">
        <w:rPr>
          <w:color w:val="000000"/>
        </w:rPr>
        <w:t>, 41:2, 75-86.</w:t>
      </w:r>
    </w:p>
    <w:p w14:paraId="5FA77122" w14:textId="394DFE8F"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Klemenčič, M. (2011) ‘Student representation in European higher education governance: principles and practice, roles and benefits’, in Eva </w:t>
      </w:r>
      <w:proofErr w:type="spellStart"/>
      <w:r w:rsidRPr="00882C31">
        <w:rPr>
          <w:color w:val="000000"/>
        </w:rPr>
        <w:t>Egron-Polak</w:t>
      </w:r>
      <w:proofErr w:type="spellEnd"/>
      <w:r w:rsidRPr="00882C31">
        <w:rPr>
          <w:color w:val="000000"/>
        </w:rPr>
        <w:t xml:space="preserve">, Jürgen Kohler, </w:t>
      </w:r>
      <w:proofErr w:type="spellStart"/>
      <w:r w:rsidRPr="00882C31">
        <w:rPr>
          <w:color w:val="000000"/>
        </w:rPr>
        <w:t>Sjur</w:t>
      </w:r>
      <w:proofErr w:type="spellEnd"/>
      <w:r w:rsidRPr="00882C31">
        <w:rPr>
          <w:color w:val="000000"/>
        </w:rPr>
        <w:t xml:space="preserve"> Bergan and Lewis Purser (</w:t>
      </w:r>
      <w:proofErr w:type="spellStart"/>
      <w:r w:rsidRPr="00882C31">
        <w:rPr>
          <w:color w:val="000000"/>
        </w:rPr>
        <w:t>eds</w:t>
      </w:r>
      <w:proofErr w:type="spellEnd"/>
      <w:r w:rsidRPr="00882C31">
        <w:rPr>
          <w:color w:val="000000"/>
        </w:rPr>
        <w:t xml:space="preserve">) </w:t>
      </w:r>
      <w:r w:rsidRPr="00882C31">
        <w:rPr>
          <w:i/>
          <w:iCs/>
          <w:color w:val="000000"/>
        </w:rPr>
        <w:t>Leadership and Governance in Higher Education. Handbook for Decision-makers and Administrators</w:t>
      </w:r>
      <w:r w:rsidR="00B3287A">
        <w:rPr>
          <w:color w:val="000000"/>
        </w:rPr>
        <w:t xml:space="preserve">, </w:t>
      </w:r>
      <w:r w:rsidRPr="00882C31">
        <w:rPr>
          <w:color w:val="000000"/>
        </w:rPr>
        <w:t xml:space="preserve">Berlin: RAABE Academic Publishers, pp. 1-26. </w:t>
      </w:r>
    </w:p>
    <w:p w14:paraId="35AC02A3" w14:textId="22F0E44A" w:rsidR="007E4A42" w:rsidRPr="00882C31" w:rsidRDefault="00B3287A"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Pr>
          <w:color w:val="000000"/>
        </w:rPr>
        <w:t>Klemenčič, M. (2012</w:t>
      </w:r>
      <w:r w:rsidR="007E4A42" w:rsidRPr="00882C31">
        <w:rPr>
          <w:color w:val="000000"/>
        </w:rPr>
        <w:t xml:space="preserve">) ‘The changing conceptions of student participation in HE governance in the EHEA’, in A. </w:t>
      </w:r>
      <w:proofErr w:type="spellStart"/>
      <w:r w:rsidR="007E4A42" w:rsidRPr="00882C31">
        <w:rPr>
          <w:color w:val="000000"/>
        </w:rPr>
        <w:t>Curaj</w:t>
      </w:r>
      <w:proofErr w:type="spellEnd"/>
      <w:r w:rsidR="007E4A42" w:rsidRPr="00882C31">
        <w:rPr>
          <w:color w:val="000000"/>
        </w:rPr>
        <w:t xml:space="preserve">, P. Scott, L. </w:t>
      </w:r>
      <w:proofErr w:type="spellStart"/>
      <w:r w:rsidR="007E4A42" w:rsidRPr="00882C31">
        <w:rPr>
          <w:color w:val="000000"/>
        </w:rPr>
        <w:t>Vlasceanu</w:t>
      </w:r>
      <w:proofErr w:type="spellEnd"/>
      <w:r w:rsidR="007E4A42" w:rsidRPr="00882C31">
        <w:rPr>
          <w:color w:val="000000"/>
        </w:rPr>
        <w:t xml:space="preserve"> and L. Wilson (</w:t>
      </w:r>
      <w:proofErr w:type="spellStart"/>
      <w:r w:rsidR="007E4A42" w:rsidRPr="00882C31">
        <w:rPr>
          <w:color w:val="000000"/>
        </w:rPr>
        <w:t>eds</w:t>
      </w:r>
      <w:proofErr w:type="spellEnd"/>
      <w:r w:rsidR="007E4A42" w:rsidRPr="00882C31">
        <w:rPr>
          <w:color w:val="000000"/>
        </w:rPr>
        <w:t xml:space="preserve">) </w:t>
      </w:r>
      <w:r w:rsidR="007E4A42" w:rsidRPr="00882C31">
        <w:rPr>
          <w:i/>
          <w:iCs/>
          <w:color w:val="000000"/>
        </w:rPr>
        <w:t xml:space="preserve">European Higher Education at the Crossroads: Between the Bologna Process and National Reforms, </w:t>
      </w:r>
      <w:r w:rsidR="007E4A42" w:rsidRPr="00882C31">
        <w:rPr>
          <w:color w:val="000000"/>
        </w:rPr>
        <w:t xml:space="preserve">Dordrecht, Netherlands: Springer, pp. 631-653. </w:t>
      </w:r>
    </w:p>
    <w:p w14:paraId="207D1E52"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Klemenčič, M. and P. Ashwin (2015) ‘New directions for teaching, learning, and student engagement in the European Higher Education Area’, in Remus </w:t>
      </w:r>
      <w:proofErr w:type="spellStart"/>
      <w:r w:rsidRPr="00882C31">
        <w:rPr>
          <w:color w:val="000000"/>
        </w:rPr>
        <w:t>Pricopie</w:t>
      </w:r>
      <w:proofErr w:type="spellEnd"/>
      <w:r w:rsidRPr="00882C31">
        <w:rPr>
          <w:color w:val="000000"/>
        </w:rPr>
        <w:t xml:space="preserve">, Peter Scott, Jamil </w:t>
      </w:r>
      <w:proofErr w:type="spellStart"/>
      <w:r w:rsidRPr="00882C31">
        <w:rPr>
          <w:color w:val="000000"/>
        </w:rPr>
        <w:t>Salmi</w:t>
      </w:r>
      <w:proofErr w:type="spellEnd"/>
      <w:r w:rsidRPr="00882C31">
        <w:rPr>
          <w:color w:val="000000"/>
        </w:rPr>
        <w:t xml:space="preserve"> and Adrian </w:t>
      </w:r>
      <w:proofErr w:type="spellStart"/>
      <w:r w:rsidRPr="00882C31">
        <w:rPr>
          <w:color w:val="000000"/>
        </w:rPr>
        <w:t>Curaj</w:t>
      </w:r>
      <w:proofErr w:type="spellEnd"/>
      <w:r w:rsidRPr="00882C31">
        <w:rPr>
          <w:color w:val="000000"/>
        </w:rPr>
        <w:t xml:space="preserve"> (eds.) </w:t>
      </w:r>
      <w:r w:rsidRPr="00882C31">
        <w:rPr>
          <w:i/>
          <w:iCs/>
          <w:color w:val="000000"/>
        </w:rPr>
        <w:t>The European Higher Education Area: Between Critical Reflection and Future Policies</w:t>
      </w:r>
      <w:r w:rsidRPr="00882C31">
        <w:rPr>
          <w:color w:val="000000"/>
        </w:rPr>
        <w:t xml:space="preserve">, Dordrecht: Springer, pp. 323-332. </w:t>
      </w:r>
    </w:p>
    <w:p w14:paraId="7B00E8E2"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Klemenčič, M. and I. </w:t>
      </w:r>
      <w:proofErr w:type="spellStart"/>
      <w:r w:rsidRPr="00882C31">
        <w:rPr>
          <w:color w:val="000000"/>
        </w:rPr>
        <w:t>Chirikov</w:t>
      </w:r>
      <w:proofErr w:type="spellEnd"/>
      <w:r w:rsidRPr="00882C31">
        <w:rPr>
          <w:color w:val="000000"/>
        </w:rPr>
        <w:t xml:space="preserve"> (2015) ‘On the use of student surveys’, in Remus </w:t>
      </w:r>
      <w:proofErr w:type="spellStart"/>
      <w:r w:rsidRPr="00882C31">
        <w:rPr>
          <w:color w:val="000000"/>
        </w:rPr>
        <w:t>Pricopie</w:t>
      </w:r>
      <w:proofErr w:type="spellEnd"/>
      <w:r w:rsidRPr="00882C31">
        <w:rPr>
          <w:color w:val="000000"/>
        </w:rPr>
        <w:t xml:space="preserve">, Peter Scott, Jamil </w:t>
      </w:r>
      <w:proofErr w:type="spellStart"/>
      <w:r w:rsidRPr="00882C31">
        <w:rPr>
          <w:color w:val="000000"/>
        </w:rPr>
        <w:t>Salmi</w:t>
      </w:r>
      <w:proofErr w:type="spellEnd"/>
      <w:r w:rsidRPr="00882C31">
        <w:rPr>
          <w:color w:val="000000"/>
        </w:rPr>
        <w:t xml:space="preserve"> and Adrian </w:t>
      </w:r>
      <w:proofErr w:type="spellStart"/>
      <w:r w:rsidRPr="00882C31">
        <w:rPr>
          <w:color w:val="000000"/>
        </w:rPr>
        <w:t>Curaj</w:t>
      </w:r>
      <w:proofErr w:type="spellEnd"/>
      <w:r w:rsidRPr="00882C31">
        <w:rPr>
          <w:color w:val="000000"/>
        </w:rPr>
        <w:t xml:space="preserve"> (eds.) </w:t>
      </w:r>
      <w:r w:rsidRPr="00882C31">
        <w:rPr>
          <w:i/>
          <w:iCs/>
          <w:color w:val="000000"/>
        </w:rPr>
        <w:t>The European Higher Education Area: Between Critical Reflection and Future Policies</w:t>
      </w:r>
      <w:r w:rsidRPr="00882C31">
        <w:rPr>
          <w:color w:val="000000"/>
        </w:rPr>
        <w:t xml:space="preserve">, Dordrecht: Springer, pp. 367-386. </w:t>
      </w:r>
    </w:p>
    <w:p w14:paraId="6CF30FAC"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Klemenčič, M. (2015a) ‘What is student agency? An ontological exploration in the context of research on student engagement’, in M. Klemenčič, S. Bergan and R. </w:t>
      </w:r>
      <w:proofErr w:type="spellStart"/>
      <w:r w:rsidRPr="00882C31">
        <w:rPr>
          <w:color w:val="000000"/>
        </w:rPr>
        <w:t>Primožič</w:t>
      </w:r>
      <w:proofErr w:type="spellEnd"/>
      <w:r w:rsidRPr="00882C31">
        <w:rPr>
          <w:color w:val="000000"/>
        </w:rPr>
        <w:t xml:space="preserve"> (</w:t>
      </w:r>
      <w:proofErr w:type="spellStart"/>
      <w:r w:rsidRPr="00882C31">
        <w:rPr>
          <w:color w:val="000000"/>
        </w:rPr>
        <w:t>eds</w:t>
      </w:r>
      <w:proofErr w:type="spellEnd"/>
      <w:r w:rsidRPr="00882C31">
        <w:rPr>
          <w:color w:val="000000"/>
        </w:rPr>
        <w:t xml:space="preserve">) </w:t>
      </w:r>
      <w:r w:rsidRPr="00882C31">
        <w:rPr>
          <w:i/>
          <w:iCs/>
          <w:color w:val="000000"/>
        </w:rPr>
        <w:t>Student Engagement in Europe: Society, Higher Education and Student Governance,</w:t>
      </w:r>
      <w:r w:rsidRPr="00882C31">
        <w:rPr>
          <w:color w:val="000000"/>
        </w:rPr>
        <w:t xml:space="preserve"> Council of Europe Higher Education Series No. 20, Strasbourg: Council of Europe Publishing, pp. 11-29.</w:t>
      </w:r>
    </w:p>
    <w:p w14:paraId="43AD3724"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Klemenčič, M. (2015b) Ahead of 2015 Bologna Ministerial Conference: a new agenda for the European Higher Education Area, </w:t>
      </w:r>
      <w:r w:rsidRPr="00882C31">
        <w:rPr>
          <w:i/>
          <w:iCs/>
          <w:color w:val="000000"/>
        </w:rPr>
        <w:t>European Journal of Higher Education</w:t>
      </w:r>
      <w:r w:rsidRPr="00882C31">
        <w:rPr>
          <w:color w:val="000000"/>
        </w:rPr>
        <w:t> 5(1) 2015: 1-3. </w:t>
      </w:r>
    </w:p>
    <w:p w14:paraId="67292B14"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Klemenčič, M. (2015c) ‘Student involvement in quality enhancement’, in J. Huisman, H. De Boer, D. Dill and M. </w:t>
      </w:r>
      <w:proofErr w:type="spellStart"/>
      <w:r w:rsidRPr="00882C31">
        <w:rPr>
          <w:color w:val="000000"/>
        </w:rPr>
        <w:t>Souto</w:t>
      </w:r>
      <w:proofErr w:type="spellEnd"/>
      <w:r w:rsidRPr="00882C31">
        <w:rPr>
          <w:color w:val="000000"/>
        </w:rPr>
        <w:t>-Otero (</w:t>
      </w:r>
      <w:proofErr w:type="spellStart"/>
      <w:r w:rsidRPr="00882C31">
        <w:rPr>
          <w:color w:val="000000"/>
        </w:rPr>
        <w:t>eds</w:t>
      </w:r>
      <w:proofErr w:type="spellEnd"/>
      <w:r w:rsidRPr="00882C31">
        <w:rPr>
          <w:color w:val="000000"/>
        </w:rPr>
        <w:t xml:space="preserve">) </w:t>
      </w:r>
      <w:r w:rsidRPr="00882C31">
        <w:rPr>
          <w:i/>
          <w:iCs/>
          <w:color w:val="000000"/>
        </w:rPr>
        <w:t>The Handbook of Higher Education Policy and Governance</w:t>
      </w:r>
      <w:r w:rsidRPr="00882C31">
        <w:rPr>
          <w:color w:val="000000"/>
        </w:rPr>
        <w:t>, London: Palgrave Macmillan, pp. 526-543.</w:t>
      </w:r>
    </w:p>
    <w:p w14:paraId="3598BD3A" w14:textId="2FB33C28" w:rsidR="00192A72" w:rsidRPr="00882C31" w:rsidRDefault="00192A7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Land, S., M. </w:t>
      </w:r>
      <w:proofErr w:type="spellStart"/>
      <w:r w:rsidRPr="00882C31">
        <w:rPr>
          <w:color w:val="000000"/>
        </w:rPr>
        <w:t>Hannafin</w:t>
      </w:r>
      <w:proofErr w:type="spellEnd"/>
      <w:r w:rsidRPr="00882C31">
        <w:rPr>
          <w:color w:val="000000"/>
        </w:rPr>
        <w:t>, and K. Oliver (2012) Student-</w:t>
      </w:r>
      <w:proofErr w:type="spellStart"/>
      <w:r w:rsidRPr="00882C31">
        <w:rPr>
          <w:color w:val="000000"/>
        </w:rPr>
        <w:t>centred</w:t>
      </w:r>
      <w:proofErr w:type="spellEnd"/>
      <w:r w:rsidRPr="00882C31">
        <w:rPr>
          <w:color w:val="000000"/>
        </w:rPr>
        <w:t xml:space="preserve"> learning</w:t>
      </w:r>
      <w:r w:rsidR="00882C31" w:rsidRPr="00882C31">
        <w:rPr>
          <w:color w:val="000000"/>
        </w:rPr>
        <w:t xml:space="preserve"> environments: Foundations, assumptions and design. In </w:t>
      </w:r>
      <w:proofErr w:type="spellStart"/>
      <w:r w:rsidR="00882C31" w:rsidRPr="00882C31">
        <w:rPr>
          <w:color w:val="000000"/>
        </w:rPr>
        <w:t>Jonassen</w:t>
      </w:r>
      <w:proofErr w:type="spellEnd"/>
      <w:r w:rsidR="00882C31" w:rsidRPr="00882C31">
        <w:rPr>
          <w:color w:val="000000"/>
        </w:rPr>
        <w:t>, D. and S. Land (</w:t>
      </w:r>
      <w:proofErr w:type="spellStart"/>
      <w:r w:rsidR="00882C31" w:rsidRPr="00882C31">
        <w:rPr>
          <w:color w:val="000000"/>
        </w:rPr>
        <w:t>eds</w:t>
      </w:r>
      <w:proofErr w:type="spellEnd"/>
      <w:r w:rsidR="00882C31" w:rsidRPr="00882C31">
        <w:rPr>
          <w:color w:val="000000"/>
        </w:rPr>
        <w:t>) Theoretical Foundations of learning environments 2</w:t>
      </w:r>
      <w:r w:rsidR="00882C31" w:rsidRPr="00882C31">
        <w:rPr>
          <w:color w:val="000000"/>
          <w:vertAlign w:val="superscript"/>
        </w:rPr>
        <w:t>nd</w:t>
      </w:r>
      <w:r w:rsidR="00882C31" w:rsidRPr="00882C31">
        <w:rPr>
          <w:color w:val="000000"/>
        </w:rPr>
        <w:t xml:space="preserve"> edition (pp. 1-25). New York and Abingdon: Routledge.</w:t>
      </w:r>
    </w:p>
    <w:p w14:paraId="316697A7"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r w:rsidRPr="00882C31">
        <w:rPr>
          <w:color w:val="000000"/>
        </w:rPr>
        <w:t>Langworthy</w:t>
      </w:r>
      <w:proofErr w:type="spellEnd"/>
      <w:r w:rsidRPr="00882C31">
        <w:rPr>
          <w:color w:val="000000"/>
        </w:rPr>
        <w:t xml:space="preserve">, M., Shear, L. and B. Means (2010) ‘The third lever: Innovative teaching and learning research’, in OECD, </w:t>
      </w:r>
      <w:proofErr w:type="gramStart"/>
      <w:r w:rsidRPr="00882C31">
        <w:rPr>
          <w:i/>
          <w:iCs/>
          <w:color w:val="000000"/>
        </w:rPr>
        <w:t>Inspired</w:t>
      </w:r>
      <w:proofErr w:type="gramEnd"/>
      <w:r w:rsidRPr="00882C31">
        <w:rPr>
          <w:i/>
          <w:iCs/>
          <w:color w:val="000000"/>
        </w:rPr>
        <w:t xml:space="preserve"> by technology, driven by pedagogy</w:t>
      </w:r>
      <w:r w:rsidRPr="00882C31">
        <w:rPr>
          <w:color w:val="000000"/>
        </w:rPr>
        <w:t>, Paris: OECD, pp. 105-124.</w:t>
      </w:r>
    </w:p>
    <w:p w14:paraId="380B984F" w14:textId="0DE9343A" w:rsidR="005A31D6" w:rsidRPr="00882C31" w:rsidRDefault="005A31D6" w:rsidP="00882C31">
      <w:pPr>
        <w:widowControl w:val="0"/>
        <w:autoSpaceDE w:val="0"/>
        <w:autoSpaceDN w:val="0"/>
        <w:adjustRightInd w:val="0"/>
      </w:pPr>
      <w:proofErr w:type="spellStart"/>
      <w:r w:rsidRPr="00882C31">
        <w:t>Luescher-Mamashela</w:t>
      </w:r>
      <w:proofErr w:type="spellEnd"/>
      <w:r w:rsidR="00882C31" w:rsidRPr="00882C31">
        <w:t>, T. M. (2012)</w:t>
      </w:r>
      <w:r w:rsidRPr="00882C31">
        <w:t xml:space="preserve"> Studies in Higher Education (2012): Student</w:t>
      </w:r>
      <w:r w:rsidR="00882C31" w:rsidRPr="00882C31">
        <w:t xml:space="preserve"> </w:t>
      </w:r>
      <w:r w:rsidRPr="00882C31">
        <w:t xml:space="preserve">representation in university decision making: good reasons, a new </w:t>
      </w:r>
      <w:proofErr w:type="gramStart"/>
      <w:r w:rsidRPr="00882C31">
        <w:t>lens?,</w:t>
      </w:r>
      <w:proofErr w:type="gramEnd"/>
      <w:r w:rsidRPr="00882C31">
        <w:t xml:space="preserve"> Studies in Higher</w:t>
      </w:r>
      <w:r w:rsidR="00882C31" w:rsidRPr="00882C31">
        <w:t xml:space="preserve"> </w:t>
      </w:r>
      <w:r w:rsidRPr="00882C31">
        <w:t>Education</w:t>
      </w:r>
      <w:r w:rsidR="00882C31" w:rsidRPr="00882C31">
        <w:t>, DOI: 10.1080/03075079.2011.625496</w:t>
      </w:r>
    </w:p>
    <w:p w14:paraId="50587B6D" w14:textId="77777777" w:rsidR="00882C31" w:rsidRPr="00882C31" w:rsidRDefault="00882C31" w:rsidP="00882C31">
      <w:pPr>
        <w:widowControl w:val="0"/>
        <w:autoSpaceDE w:val="0"/>
        <w:autoSpaceDN w:val="0"/>
        <w:adjustRightInd w:val="0"/>
      </w:pPr>
    </w:p>
    <w:p w14:paraId="09C3917F"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Meyer, J. W. and R. </w:t>
      </w:r>
      <w:proofErr w:type="spellStart"/>
      <w:r w:rsidRPr="00882C31">
        <w:rPr>
          <w:color w:val="000000"/>
        </w:rPr>
        <w:t>Jepperson</w:t>
      </w:r>
      <w:proofErr w:type="spellEnd"/>
      <w:r w:rsidRPr="00882C31">
        <w:rPr>
          <w:color w:val="000000"/>
        </w:rPr>
        <w:t xml:space="preserve"> (2000) The "Actors" of Modern Society: Cultural Rationalization and the Ongoing Expansion of Social Agency, </w:t>
      </w:r>
      <w:r w:rsidRPr="00882C31">
        <w:rPr>
          <w:i/>
          <w:iCs/>
          <w:color w:val="000000"/>
        </w:rPr>
        <w:t>Sociological Theory</w:t>
      </w:r>
      <w:r w:rsidRPr="00882C31">
        <w:rPr>
          <w:color w:val="000000"/>
        </w:rPr>
        <w:t xml:space="preserve"> 18 (1): 100-120.</w:t>
      </w:r>
    </w:p>
    <w:p w14:paraId="2EB16817"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r w:rsidRPr="00882C31">
        <w:rPr>
          <w:color w:val="000000"/>
        </w:rPr>
        <w:lastRenderedPageBreak/>
        <w:t>Kuh</w:t>
      </w:r>
      <w:proofErr w:type="spellEnd"/>
      <w:r w:rsidRPr="00882C31">
        <w:rPr>
          <w:color w:val="000000"/>
        </w:rPr>
        <w:t xml:space="preserve">, G. D. (2001) Assessing what really matters to student learning: Inside the national survey of student engagement, </w:t>
      </w:r>
      <w:r w:rsidRPr="00882C31">
        <w:rPr>
          <w:i/>
          <w:iCs/>
          <w:color w:val="000000"/>
        </w:rPr>
        <w:t>Change</w:t>
      </w:r>
      <w:r w:rsidRPr="00882C31">
        <w:rPr>
          <w:color w:val="000000"/>
        </w:rPr>
        <w:t>, 33(3), 10–17. 66.</w:t>
      </w:r>
    </w:p>
    <w:p w14:paraId="5D574601"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Macfarlane, B. (2012) Re-framing student academic freedom: a capability perspective, </w:t>
      </w:r>
      <w:r w:rsidRPr="00882C31">
        <w:rPr>
          <w:i/>
          <w:iCs/>
          <w:color w:val="000000"/>
        </w:rPr>
        <w:t>Higher Education</w:t>
      </w:r>
      <w:r w:rsidRPr="00882C31">
        <w:rPr>
          <w:color w:val="000000"/>
        </w:rPr>
        <w:t xml:space="preserve"> 63: 719–732.</w:t>
      </w:r>
    </w:p>
    <w:p w14:paraId="3F5AE9E1"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Sen, A. (1999) </w:t>
      </w:r>
      <w:r w:rsidRPr="00882C31">
        <w:rPr>
          <w:i/>
          <w:iCs/>
          <w:color w:val="000000"/>
        </w:rPr>
        <w:t>Development as Freedom</w:t>
      </w:r>
      <w:r w:rsidRPr="00882C31">
        <w:rPr>
          <w:color w:val="000000"/>
        </w:rPr>
        <w:t>, Oxford: Oxford University Press.</w:t>
      </w:r>
    </w:p>
    <w:p w14:paraId="7896E113" w14:textId="70D120C5" w:rsidR="00D12666"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r w:rsidRPr="00882C31">
        <w:rPr>
          <w:color w:val="000000"/>
        </w:rPr>
        <w:t>Trowler</w:t>
      </w:r>
      <w:proofErr w:type="spellEnd"/>
      <w:r w:rsidR="00D12666" w:rsidRPr="00882C31">
        <w:rPr>
          <w:color w:val="000000"/>
        </w:rPr>
        <w:t>, V. and</w:t>
      </w:r>
      <w:r w:rsidRPr="00882C31">
        <w:rPr>
          <w:color w:val="000000"/>
        </w:rPr>
        <w:t xml:space="preserve"> </w:t>
      </w:r>
      <w:r w:rsidR="00D12666" w:rsidRPr="00882C31">
        <w:rPr>
          <w:color w:val="000000"/>
        </w:rPr>
        <w:t xml:space="preserve">P. </w:t>
      </w:r>
      <w:proofErr w:type="spellStart"/>
      <w:r w:rsidR="00D12666" w:rsidRPr="00882C31">
        <w:rPr>
          <w:color w:val="000000"/>
        </w:rPr>
        <w:t>Trowler</w:t>
      </w:r>
      <w:proofErr w:type="spellEnd"/>
      <w:r w:rsidR="00D12666" w:rsidRPr="00882C31">
        <w:rPr>
          <w:color w:val="000000"/>
        </w:rPr>
        <w:t xml:space="preserve"> (2011)</w:t>
      </w:r>
      <w:r w:rsidRPr="00882C31">
        <w:rPr>
          <w:color w:val="000000"/>
        </w:rPr>
        <w:t xml:space="preserve"> Student engagement toolkit for leaders</w:t>
      </w:r>
      <w:r w:rsidR="00D12666" w:rsidRPr="00882C31">
        <w:rPr>
          <w:color w:val="000000"/>
        </w:rPr>
        <w:t xml:space="preserve">. London, UK: </w:t>
      </w:r>
      <w:r w:rsidRPr="00882C31">
        <w:rPr>
          <w:color w:val="000000"/>
        </w:rPr>
        <w:t>Leadership foundation for higher education and Higher Education Research and</w:t>
      </w:r>
      <w:r w:rsidR="00D12666" w:rsidRPr="00882C31">
        <w:rPr>
          <w:color w:val="000000"/>
        </w:rPr>
        <w:t xml:space="preserve"> </w:t>
      </w:r>
      <w:r w:rsidRPr="00882C31">
        <w:rPr>
          <w:color w:val="000000"/>
        </w:rPr>
        <w:t>Evaluation</w:t>
      </w:r>
      <w:r w:rsidR="00D12666" w:rsidRPr="00882C31">
        <w:rPr>
          <w:color w:val="000000"/>
        </w:rPr>
        <w:t>.</w:t>
      </w:r>
    </w:p>
    <w:p w14:paraId="5E48999C" w14:textId="4F457BCE"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Van </w:t>
      </w:r>
      <w:proofErr w:type="spellStart"/>
      <w:r w:rsidRPr="00882C31">
        <w:rPr>
          <w:color w:val="000000"/>
        </w:rPr>
        <w:t>Andel</w:t>
      </w:r>
      <w:proofErr w:type="spellEnd"/>
      <w:r w:rsidRPr="00882C31">
        <w:rPr>
          <w:color w:val="000000"/>
        </w:rPr>
        <w:t xml:space="preserve">, J., </w:t>
      </w:r>
      <w:proofErr w:type="spellStart"/>
      <w:r w:rsidRPr="00882C31">
        <w:rPr>
          <w:color w:val="000000"/>
        </w:rPr>
        <w:t>Botas</w:t>
      </w:r>
      <w:proofErr w:type="spellEnd"/>
      <w:r w:rsidRPr="00882C31">
        <w:rPr>
          <w:color w:val="000000"/>
        </w:rPr>
        <w:t xml:space="preserve">, P. C. P. and J. Huisman (2012) ‘Consumption values and empowerment of the student as customer: taking a rational look inside higher education's “Pandora's Box”’, </w:t>
      </w:r>
      <w:r w:rsidRPr="00882C31">
        <w:rPr>
          <w:i/>
          <w:iCs/>
          <w:color w:val="000000"/>
        </w:rPr>
        <w:t>Higher Education Review</w:t>
      </w:r>
      <w:r w:rsidRPr="00882C31">
        <w:rPr>
          <w:color w:val="000000"/>
        </w:rPr>
        <w:t xml:space="preserve"> 45(1): 62–85.</w:t>
      </w:r>
    </w:p>
    <w:p w14:paraId="1F17038C"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proofErr w:type="spellStart"/>
      <w:r w:rsidRPr="00882C31">
        <w:rPr>
          <w:color w:val="000000"/>
        </w:rPr>
        <w:t>Swidler</w:t>
      </w:r>
      <w:proofErr w:type="spellEnd"/>
      <w:r w:rsidRPr="00882C31">
        <w:rPr>
          <w:color w:val="000000"/>
        </w:rPr>
        <w:t xml:space="preserve">, A. (1986) Culture in Action: Symbols and Strategies </w:t>
      </w:r>
      <w:r w:rsidRPr="00882C31">
        <w:rPr>
          <w:i/>
          <w:iCs/>
          <w:color w:val="000000"/>
        </w:rPr>
        <w:t>American Sociological Review</w:t>
      </w:r>
      <w:r w:rsidRPr="00882C31">
        <w:rPr>
          <w:color w:val="000000"/>
        </w:rPr>
        <w:t xml:space="preserve"> 51:273-86.</w:t>
      </w:r>
    </w:p>
    <w:p w14:paraId="50EFE16F" w14:textId="77777777" w:rsidR="007E4A42" w:rsidRPr="00882C31" w:rsidRDefault="007E4A42" w:rsidP="007E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color w:val="000000"/>
        </w:rPr>
      </w:pPr>
      <w:r w:rsidRPr="00882C31">
        <w:rPr>
          <w:color w:val="000000"/>
        </w:rPr>
        <w:t xml:space="preserve">Zimmerman, B. (2008) Investigating Self-Regulation and Motivation: Historical Background, Methodological Developments, and Future Prospects, </w:t>
      </w:r>
      <w:r w:rsidRPr="00882C31">
        <w:rPr>
          <w:i/>
          <w:iCs/>
          <w:color w:val="000000"/>
        </w:rPr>
        <w:t>American Educational Research Journal</w:t>
      </w:r>
      <w:r w:rsidRPr="00882C31">
        <w:rPr>
          <w:color w:val="000000"/>
        </w:rPr>
        <w:t xml:space="preserve"> 45(1): 166-183.</w:t>
      </w:r>
    </w:p>
    <w:p w14:paraId="2E17E929" w14:textId="3F1B0638" w:rsidR="00E55DF1" w:rsidRPr="00882C31" w:rsidRDefault="00E55DF1" w:rsidP="00413E5E"/>
    <w:sectPr w:rsidR="00E55DF1" w:rsidRPr="00882C31" w:rsidSect="00300EEA">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4241" w14:textId="77777777" w:rsidR="002923D4" w:rsidRDefault="002923D4" w:rsidP="001C51AB">
      <w:r>
        <w:separator/>
      </w:r>
    </w:p>
  </w:endnote>
  <w:endnote w:type="continuationSeparator" w:id="0">
    <w:p w14:paraId="4161E1C5" w14:textId="77777777" w:rsidR="002923D4" w:rsidRDefault="002923D4" w:rsidP="001C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ypatia Sans Pro 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ff2">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38342" w14:textId="77777777" w:rsidR="00300EEA" w:rsidRDefault="00300EEA" w:rsidP="00300E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42885" w14:textId="77777777" w:rsidR="00300EEA" w:rsidRDefault="00300EEA" w:rsidP="001C51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2090" w14:textId="77777777" w:rsidR="00300EEA" w:rsidRDefault="00300EEA" w:rsidP="00300E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6E05">
      <w:rPr>
        <w:rStyle w:val="PageNumber"/>
        <w:noProof/>
      </w:rPr>
      <w:t>6</w:t>
    </w:r>
    <w:r>
      <w:rPr>
        <w:rStyle w:val="PageNumber"/>
      </w:rPr>
      <w:fldChar w:fldCharType="end"/>
    </w:r>
  </w:p>
  <w:p w14:paraId="69BCFD95" w14:textId="77777777" w:rsidR="00300EEA" w:rsidRDefault="00300EEA" w:rsidP="001C51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04C27" w14:textId="77777777" w:rsidR="002923D4" w:rsidRDefault="002923D4" w:rsidP="001C51AB">
      <w:r>
        <w:separator/>
      </w:r>
    </w:p>
  </w:footnote>
  <w:footnote w:type="continuationSeparator" w:id="0">
    <w:p w14:paraId="00241404" w14:textId="77777777" w:rsidR="002923D4" w:rsidRDefault="002923D4" w:rsidP="001C51AB">
      <w:r>
        <w:continuationSeparator/>
      </w:r>
    </w:p>
  </w:footnote>
  <w:footnote w:id="1">
    <w:p w14:paraId="0E13A806" w14:textId="725667DA" w:rsidR="00300EEA" w:rsidRPr="00EC3E3D" w:rsidRDefault="00300EEA" w:rsidP="008F4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jc w:val="both"/>
        <w:rPr>
          <w:color w:val="000000"/>
        </w:rPr>
      </w:pPr>
      <w:r>
        <w:rPr>
          <w:rStyle w:val="FootnoteReference"/>
        </w:rPr>
        <w:footnoteRef/>
      </w:r>
      <w:r>
        <w:t xml:space="preserve"> </w:t>
      </w:r>
      <w:r w:rsidRPr="00EC3E3D">
        <w:rPr>
          <w:color w:val="000000"/>
        </w:rPr>
        <w:t>The policy documents consulted include the ministerial communiqués published biennially following the Ministerial Summits; and the two declarations: Bologna Declaration (1999) and the Budapest/Vienna Declaration formally establishing the EHEA (2010). Also reviewed were the two other policy documents adopted at the ministerial summits: all three versions of the European Standards and Guidelines for Quality Assurance in Europe (ESG, 2005; 2009; 2015) and The User Guide to the European Credit Transfer and Accumulation System (ECTS) (2015). For positions and practices of the key members of the Bologna Process/EHEA, content analysis has been performed on: national governments’ implementation reports,</w:t>
      </w:r>
      <w:r>
        <w:rPr>
          <w:color w:val="000000"/>
        </w:rPr>
        <w:t xml:space="preserve"> including the</w:t>
      </w:r>
      <w:r w:rsidRPr="00D71EC8">
        <w:rPr>
          <w:color w:val="000000"/>
        </w:rPr>
        <w:t xml:space="preserve"> Bologna Implementation Report (European Commission/EACEA/Eurydice, 2012</w:t>
      </w:r>
      <w:r>
        <w:rPr>
          <w:color w:val="000000"/>
        </w:rPr>
        <w:t xml:space="preserve">); </w:t>
      </w:r>
      <w:r w:rsidRPr="00EC3E3D">
        <w:rPr>
          <w:color w:val="000000"/>
        </w:rPr>
        <w:t xml:space="preserve">policy documents of the </w:t>
      </w:r>
      <w:r>
        <w:rPr>
          <w:color w:val="000000"/>
        </w:rPr>
        <w:t>three</w:t>
      </w:r>
      <w:r w:rsidRPr="00EC3E3D">
        <w:rPr>
          <w:color w:val="000000"/>
        </w:rPr>
        <w:t xml:space="preserve"> key stakeholders</w:t>
      </w:r>
      <w:r>
        <w:rPr>
          <w:color w:val="000000"/>
        </w:rPr>
        <w:t xml:space="preserve">, </w:t>
      </w:r>
      <w:r w:rsidRPr="00EC3E3D">
        <w:rPr>
          <w:color w:val="000000"/>
        </w:rPr>
        <w:t>European University Association (EUA)</w:t>
      </w:r>
      <w:r>
        <w:rPr>
          <w:color w:val="000000"/>
        </w:rPr>
        <w:t>, Education International (EI)</w:t>
      </w:r>
      <w:r w:rsidRPr="00EC3E3D">
        <w:rPr>
          <w:color w:val="000000"/>
        </w:rPr>
        <w:t xml:space="preserve"> and European Students’ Union (ESU), and the </w:t>
      </w:r>
      <w:r>
        <w:rPr>
          <w:color w:val="000000"/>
        </w:rPr>
        <w:t xml:space="preserve">key </w:t>
      </w:r>
      <w:r w:rsidRPr="00EC3E3D">
        <w:rPr>
          <w:color w:val="000000"/>
        </w:rPr>
        <w:t>polic</w:t>
      </w:r>
      <w:r>
        <w:rPr>
          <w:color w:val="000000"/>
        </w:rPr>
        <w:t>ies of the European Commission (</w:t>
      </w:r>
      <w:r w:rsidRPr="00EC3E3D">
        <w:rPr>
          <w:color w:val="000000"/>
        </w:rPr>
        <w:t>2003; 2005; 2006; 2011</w:t>
      </w:r>
      <w:r>
        <w:rPr>
          <w:color w:val="000000"/>
        </w:rPr>
        <w:t xml:space="preserve">), including </w:t>
      </w:r>
      <w:r w:rsidRPr="00EC3E3D">
        <w:rPr>
          <w:color w:val="000000"/>
        </w:rPr>
        <w:t xml:space="preserve">the High-Level Group reports on improving the quality of teaching and learning in Europe’s higher education institutions (European Commission, 2013; 2014). </w:t>
      </w:r>
    </w:p>
    <w:p w14:paraId="77B0C9BC" w14:textId="0C149E90" w:rsidR="00300EEA" w:rsidRDefault="00300EEA">
      <w:pPr>
        <w:pStyle w:val="FootnoteText"/>
      </w:pPr>
    </w:p>
  </w:footnote>
  <w:footnote w:id="2">
    <w:p w14:paraId="03C2FACC" w14:textId="77777777" w:rsidR="00300EEA" w:rsidRDefault="00300EEA" w:rsidP="00CA58F5">
      <w:pPr>
        <w:pStyle w:val="FootnoteText"/>
      </w:pPr>
      <w:r>
        <w:rPr>
          <w:rStyle w:val="FootnoteReference"/>
        </w:rPr>
        <w:footnoteRef/>
      </w:r>
      <w:r>
        <w:t xml:space="preserve"> In 2015 and 2016 the author was involved in training events on implementation of SCL with participants from over 20 different European countries in addition to national training events in Lithuania, Slovenia, Kazakhstan and Spain.</w:t>
      </w:r>
    </w:p>
  </w:footnote>
  <w:footnote w:id="3">
    <w:p w14:paraId="6E72B0BB" w14:textId="77777777" w:rsidR="00300EEA" w:rsidRDefault="00300EEA" w:rsidP="00572465">
      <w:pPr>
        <w:pStyle w:val="FootnoteText"/>
      </w:pPr>
      <w:r>
        <w:rPr>
          <w:rStyle w:val="FootnoteReference"/>
        </w:rPr>
        <w:footnoteRef/>
      </w:r>
      <w:r>
        <w:rPr>
          <w:rStyle w:val="FootnoteReference"/>
        </w:rPr>
        <w:footnoteRef/>
      </w:r>
      <w:r>
        <w:t xml:space="preserve"> I thank the unanimous reviewer for raising this point. </w:t>
      </w:r>
    </w:p>
  </w:footnote>
  <w:footnote w:id="4">
    <w:p w14:paraId="656D7675" w14:textId="1455CE1C" w:rsidR="00300EEA" w:rsidRDefault="00300EEA" w:rsidP="00911B99">
      <w:pPr>
        <w:pStyle w:val="FootnoteText"/>
      </w:pPr>
      <w:r>
        <w:rPr>
          <w:rStyle w:val="FootnoteReference"/>
        </w:rPr>
        <w:footnoteRef/>
      </w:r>
      <w:r>
        <w:t xml:space="preserve"> </w:t>
      </w:r>
      <w:r>
        <w:rPr>
          <w:rFonts w:ascii="Times New Roman" w:hAnsi="Times New Roman" w:cs="Times New Roman"/>
          <w:color w:val="000000"/>
          <w:sz w:val="22"/>
          <w:szCs w:val="22"/>
        </w:rPr>
        <w:t>The most notable have been the project conducted in cooperation between ESU and EI entitled “Time for a New Paradigm in Education: Student Centered Learning" (T4SCL), which ran from December 2009 to November 2010, and has been followed up by the project “Peer Assessment of Student-Centered Learning” (PASCL).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7335FE"/>
    <w:multiLevelType w:val="hybridMultilevel"/>
    <w:tmpl w:val="FD76509A"/>
    <w:lvl w:ilvl="0" w:tplc="AE547F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B6DDD"/>
    <w:multiLevelType w:val="hybridMultilevel"/>
    <w:tmpl w:val="86EA2F1E"/>
    <w:lvl w:ilvl="0" w:tplc="944A4D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5666C"/>
    <w:multiLevelType w:val="hybridMultilevel"/>
    <w:tmpl w:val="6D54945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2"/>
    <w:rsid w:val="00033EBC"/>
    <w:rsid w:val="000546BD"/>
    <w:rsid w:val="00072AFE"/>
    <w:rsid w:val="0007789F"/>
    <w:rsid w:val="00086AE8"/>
    <w:rsid w:val="000A3B54"/>
    <w:rsid w:val="000C5F7A"/>
    <w:rsid w:val="000D514C"/>
    <w:rsid w:val="000E5F8D"/>
    <w:rsid w:val="000F4B43"/>
    <w:rsid w:val="000F6A76"/>
    <w:rsid w:val="00100C19"/>
    <w:rsid w:val="00135FE1"/>
    <w:rsid w:val="00154696"/>
    <w:rsid w:val="00154BAB"/>
    <w:rsid w:val="00176F7D"/>
    <w:rsid w:val="00177727"/>
    <w:rsid w:val="00185DE2"/>
    <w:rsid w:val="00186FAD"/>
    <w:rsid w:val="00192A72"/>
    <w:rsid w:val="001B1F4E"/>
    <w:rsid w:val="001C51AB"/>
    <w:rsid w:val="001C7141"/>
    <w:rsid w:val="001E198C"/>
    <w:rsid w:val="001E3434"/>
    <w:rsid w:val="00243FD3"/>
    <w:rsid w:val="00280A7A"/>
    <w:rsid w:val="0028630D"/>
    <w:rsid w:val="002923D4"/>
    <w:rsid w:val="00300EEA"/>
    <w:rsid w:val="00323774"/>
    <w:rsid w:val="003472AE"/>
    <w:rsid w:val="003A4DE9"/>
    <w:rsid w:val="003C460D"/>
    <w:rsid w:val="00412DF8"/>
    <w:rsid w:val="00413E5E"/>
    <w:rsid w:val="00455041"/>
    <w:rsid w:val="00493926"/>
    <w:rsid w:val="004A645A"/>
    <w:rsid w:val="004B1F57"/>
    <w:rsid w:val="004B6F9D"/>
    <w:rsid w:val="004F6D57"/>
    <w:rsid w:val="005113E1"/>
    <w:rsid w:val="00524839"/>
    <w:rsid w:val="00527015"/>
    <w:rsid w:val="00551AEF"/>
    <w:rsid w:val="005640C9"/>
    <w:rsid w:val="00570D85"/>
    <w:rsid w:val="00572465"/>
    <w:rsid w:val="005A31D6"/>
    <w:rsid w:val="005A545E"/>
    <w:rsid w:val="005C0539"/>
    <w:rsid w:val="005E10E0"/>
    <w:rsid w:val="005E13A2"/>
    <w:rsid w:val="005E5D15"/>
    <w:rsid w:val="005E6408"/>
    <w:rsid w:val="00642FB1"/>
    <w:rsid w:val="00647A64"/>
    <w:rsid w:val="00651D1B"/>
    <w:rsid w:val="006600E7"/>
    <w:rsid w:val="00672EFE"/>
    <w:rsid w:val="00685074"/>
    <w:rsid w:val="006A7C96"/>
    <w:rsid w:val="006A7C98"/>
    <w:rsid w:val="006B1E97"/>
    <w:rsid w:val="006B6C5A"/>
    <w:rsid w:val="006C216F"/>
    <w:rsid w:val="006C59F2"/>
    <w:rsid w:val="006E1971"/>
    <w:rsid w:val="00755E3C"/>
    <w:rsid w:val="007627E3"/>
    <w:rsid w:val="0078596F"/>
    <w:rsid w:val="00786922"/>
    <w:rsid w:val="007A4CDA"/>
    <w:rsid w:val="007B07C4"/>
    <w:rsid w:val="007B55FC"/>
    <w:rsid w:val="007C0B18"/>
    <w:rsid w:val="007D5C94"/>
    <w:rsid w:val="007E4A42"/>
    <w:rsid w:val="00831FF7"/>
    <w:rsid w:val="0083435C"/>
    <w:rsid w:val="00847374"/>
    <w:rsid w:val="00861FC8"/>
    <w:rsid w:val="00862D16"/>
    <w:rsid w:val="0088045F"/>
    <w:rsid w:val="00882C31"/>
    <w:rsid w:val="008833E6"/>
    <w:rsid w:val="00890F7F"/>
    <w:rsid w:val="00893AA6"/>
    <w:rsid w:val="00895263"/>
    <w:rsid w:val="008A12EE"/>
    <w:rsid w:val="008A6AF0"/>
    <w:rsid w:val="008B3551"/>
    <w:rsid w:val="008B4145"/>
    <w:rsid w:val="008B7EC1"/>
    <w:rsid w:val="008C5E4D"/>
    <w:rsid w:val="008C7E78"/>
    <w:rsid w:val="008D3A44"/>
    <w:rsid w:val="008F4456"/>
    <w:rsid w:val="00911B99"/>
    <w:rsid w:val="009427C0"/>
    <w:rsid w:val="0096590E"/>
    <w:rsid w:val="00982BFF"/>
    <w:rsid w:val="009A7912"/>
    <w:rsid w:val="009B199E"/>
    <w:rsid w:val="009B5B83"/>
    <w:rsid w:val="009E1ACC"/>
    <w:rsid w:val="00A4023A"/>
    <w:rsid w:val="00A91C50"/>
    <w:rsid w:val="00AA1C1B"/>
    <w:rsid w:val="00AB4868"/>
    <w:rsid w:val="00AB66F3"/>
    <w:rsid w:val="00AC3FBC"/>
    <w:rsid w:val="00AC5353"/>
    <w:rsid w:val="00AE0547"/>
    <w:rsid w:val="00AF1148"/>
    <w:rsid w:val="00B062EA"/>
    <w:rsid w:val="00B10A26"/>
    <w:rsid w:val="00B3287A"/>
    <w:rsid w:val="00B411ED"/>
    <w:rsid w:val="00B466EB"/>
    <w:rsid w:val="00B478E4"/>
    <w:rsid w:val="00B97538"/>
    <w:rsid w:val="00BC148D"/>
    <w:rsid w:val="00C40A18"/>
    <w:rsid w:val="00C45B3B"/>
    <w:rsid w:val="00C45BFE"/>
    <w:rsid w:val="00C5734D"/>
    <w:rsid w:val="00C745F1"/>
    <w:rsid w:val="00C92162"/>
    <w:rsid w:val="00C948A9"/>
    <w:rsid w:val="00CA58F5"/>
    <w:rsid w:val="00CB0347"/>
    <w:rsid w:val="00CF1B07"/>
    <w:rsid w:val="00D0089E"/>
    <w:rsid w:val="00D12666"/>
    <w:rsid w:val="00D3152C"/>
    <w:rsid w:val="00D326B8"/>
    <w:rsid w:val="00D374E7"/>
    <w:rsid w:val="00D45FD5"/>
    <w:rsid w:val="00D71EC8"/>
    <w:rsid w:val="00D875E0"/>
    <w:rsid w:val="00D902A2"/>
    <w:rsid w:val="00DA5C23"/>
    <w:rsid w:val="00DB0596"/>
    <w:rsid w:val="00DC59E9"/>
    <w:rsid w:val="00DE3AEF"/>
    <w:rsid w:val="00DF562A"/>
    <w:rsid w:val="00E02990"/>
    <w:rsid w:val="00E15DB8"/>
    <w:rsid w:val="00E24A35"/>
    <w:rsid w:val="00E26149"/>
    <w:rsid w:val="00E31ABB"/>
    <w:rsid w:val="00E40B03"/>
    <w:rsid w:val="00E46E05"/>
    <w:rsid w:val="00E55DF1"/>
    <w:rsid w:val="00E56AA0"/>
    <w:rsid w:val="00E6053F"/>
    <w:rsid w:val="00E81212"/>
    <w:rsid w:val="00EC3E3D"/>
    <w:rsid w:val="00F15250"/>
    <w:rsid w:val="00F15808"/>
    <w:rsid w:val="00F56DE6"/>
    <w:rsid w:val="00FB132C"/>
    <w:rsid w:val="00FE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B8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0EEA"/>
    <w:rPr>
      <w:rFonts w:ascii="Times New Roman" w:hAnsi="Times New Roman" w:cs="Times New Roman"/>
    </w:rPr>
  </w:style>
  <w:style w:type="paragraph" w:styleId="Heading1">
    <w:name w:val="heading 1"/>
    <w:basedOn w:val="Normal"/>
    <w:next w:val="Normal"/>
    <w:link w:val="Heading1Char"/>
    <w:uiPriority w:val="9"/>
    <w:qFormat/>
    <w:rsid w:val="00AB66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66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90E"/>
    <w:pPr>
      <w:ind w:left="720"/>
      <w:contextualSpacing/>
    </w:pPr>
    <w:rPr>
      <w:rFonts w:asciiTheme="minorHAnsi" w:hAnsiTheme="minorHAnsi" w:cstheme="minorBidi"/>
    </w:rPr>
  </w:style>
  <w:style w:type="paragraph" w:styleId="Footer">
    <w:name w:val="footer"/>
    <w:basedOn w:val="Normal"/>
    <w:link w:val="FooterChar"/>
    <w:uiPriority w:val="99"/>
    <w:unhideWhenUsed/>
    <w:rsid w:val="001C51A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C51AB"/>
  </w:style>
  <w:style w:type="character" w:styleId="PageNumber">
    <w:name w:val="page number"/>
    <w:basedOn w:val="DefaultParagraphFont"/>
    <w:uiPriority w:val="99"/>
    <w:semiHidden/>
    <w:unhideWhenUsed/>
    <w:rsid w:val="001C51AB"/>
  </w:style>
  <w:style w:type="paragraph" w:styleId="FootnoteText">
    <w:name w:val="footnote text"/>
    <w:basedOn w:val="Normal"/>
    <w:link w:val="FootnoteTextChar"/>
    <w:uiPriority w:val="99"/>
    <w:unhideWhenUsed/>
    <w:rsid w:val="00E81212"/>
    <w:rPr>
      <w:rFonts w:asciiTheme="minorHAnsi" w:hAnsiTheme="minorHAnsi" w:cstheme="minorBidi"/>
    </w:rPr>
  </w:style>
  <w:style w:type="character" w:customStyle="1" w:styleId="FootnoteTextChar">
    <w:name w:val="Footnote Text Char"/>
    <w:basedOn w:val="DefaultParagraphFont"/>
    <w:link w:val="FootnoteText"/>
    <w:uiPriority w:val="99"/>
    <w:rsid w:val="00E81212"/>
  </w:style>
  <w:style w:type="character" w:styleId="FootnoteReference">
    <w:name w:val="footnote reference"/>
    <w:basedOn w:val="DefaultParagraphFont"/>
    <w:uiPriority w:val="99"/>
    <w:unhideWhenUsed/>
    <w:rsid w:val="00E81212"/>
    <w:rPr>
      <w:vertAlign w:val="superscript"/>
    </w:rPr>
  </w:style>
  <w:style w:type="paragraph" w:styleId="NormalWeb">
    <w:name w:val="Normal (Web)"/>
    <w:basedOn w:val="Normal"/>
    <w:uiPriority w:val="99"/>
    <w:unhideWhenUsed/>
    <w:rsid w:val="000546BD"/>
    <w:pPr>
      <w:spacing w:before="100" w:beforeAutospacing="1" w:after="100" w:afterAutospacing="1"/>
    </w:pPr>
  </w:style>
  <w:style w:type="character" w:styleId="Strong">
    <w:name w:val="Strong"/>
    <w:basedOn w:val="DefaultParagraphFont"/>
    <w:uiPriority w:val="22"/>
    <w:qFormat/>
    <w:rsid w:val="000546BD"/>
    <w:rPr>
      <w:b/>
      <w:bCs/>
    </w:rPr>
  </w:style>
  <w:style w:type="character" w:customStyle="1" w:styleId="apple-converted-space">
    <w:name w:val="apple-converted-space"/>
    <w:basedOn w:val="DefaultParagraphFont"/>
    <w:rsid w:val="000546BD"/>
  </w:style>
  <w:style w:type="paragraph" w:customStyle="1" w:styleId="Default">
    <w:name w:val="Default"/>
    <w:rsid w:val="003A4DE9"/>
    <w:pPr>
      <w:widowControl w:val="0"/>
      <w:autoSpaceDE w:val="0"/>
      <w:autoSpaceDN w:val="0"/>
      <w:adjustRightInd w:val="0"/>
    </w:pPr>
    <w:rPr>
      <w:rFonts w:ascii="Hypatia Sans Pro Light" w:hAnsi="Hypatia Sans Pro Light" w:cs="Hypatia Sans Pro Light"/>
      <w:color w:val="000000"/>
    </w:rPr>
  </w:style>
  <w:style w:type="paragraph" w:styleId="CommentText">
    <w:name w:val="annotation text"/>
    <w:basedOn w:val="Normal"/>
    <w:link w:val="CommentTextChar"/>
    <w:uiPriority w:val="99"/>
    <w:unhideWhenUsed/>
    <w:rsid w:val="0083435C"/>
    <w:pPr>
      <w:spacing w:after="20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3435C"/>
    <w:rPr>
      <w:sz w:val="20"/>
      <w:szCs w:val="20"/>
      <w:lang w:val="en-GB"/>
    </w:rPr>
  </w:style>
  <w:style w:type="character" w:customStyle="1" w:styleId="Heading1Char">
    <w:name w:val="Heading 1 Char"/>
    <w:basedOn w:val="DefaultParagraphFont"/>
    <w:link w:val="Heading1"/>
    <w:uiPriority w:val="9"/>
    <w:rsid w:val="00AB66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66F3"/>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B3287A"/>
    <w:pPr>
      <w:spacing w:after="200"/>
      <w:jc w:val="both"/>
    </w:pPr>
    <w:rPr>
      <w:noProof/>
      <w:sz w:val="22"/>
      <w:szCs w:val="22"/>
    </w:rPr>
  </w:style>
  <w:style w:type="character" w:customStyle="1" w:styleId="EndNoteBibliographyChar">
    <w:name w:val="EndNote Bibliography Char"/>
    <w:basedOn w:val="DefaultParagraphFont"/>
    <w:link w:val="EndNoteBibliography"/>
    <w:rsid w:val="00B3287A"/>
    <w:rPr>
      <w:rFonts w:ascii="Times New Roman" w:hAnsi="Times New Roman" w:cs="Times New Roman"/>
      <w:noProof/>
      <w:sz w:val="22"/>
      <w:szCs w:val="22"/>
    </w:rPr>
  </w:style>
  <w:style w:type="character" w:customStyle="1" w:styleId="a">
    <w:name w:val="_"/>
    <w:basedOn w:val="DefaultParagraphFont"/>
    <w:rsid w:val="00300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909">
      <w:bodyDiv w:val="1"/>
      <w:marLeft w:val="0"/>
      <w:marRight w:val="0"/>
      <w:marTop w:val="0"/>
      <w:marBottom w:val="0"/>
      <w:divBdr>
        <w:top w:val="none" w:sz="0" w:space="0" w:color="auto"/>
        <w:left w:val="none" w:sz="0" w:space="0" w:color="auto"/>
        <w:bottom w:val="none" w:sz="0" w:space="0" w:color="auto"/>
        <w:right w:val="none" w:sz="0" w:space="0" w:color="auto"/>
      </w:divBdr>
    </w:div>
    <w:div w:id="156500129">
      <w:bodyDiv w:val="1"/>
      <w:marLeft w:val="0"/>
      <w:marRight w:val="0"/>
      <w:marTop w:val="0"/>
      <w:marBottom w:val="0"/>
      <w:divBdr>
        <w:top w:val="none" w:sz="0" w:space="0" w:color="auto"/>
        <w:left w:val="none" w:sz="0" w:space="0" w:color="auto"/>
        <w:bottom w:val="none" w:sz="0" w:space="0" w:color="auto"/>
        <w:right w:val="none" w:sz="0" w:space="0" w:color="auto"/>
      </w:divBdr>
    </w:div>
    <w:div w:id="333341359">
      <w:bodyDiv w:val="1"/>
      <w:marLeft w:val="0"/>
      <w:marRight w:val="0"/>
      <w:marTop w:val="0"/>
      <w:marBottom w:val="0"/>
      <w:divBdr>
        <w:top w:val="none" w:sz="0" w:space="0" w:color="auto"/>
        <w:left w:val="none" w:sz="0" w:space="0" w:color="auto"/>
        <w:bottom w:val="none" w:sz="0" w:space="0" w:color="auto"/>
        <w:right w:val="none" w:sz="0" w:space="0" w:color="auto"/>
      </w:divBdr>
    </w:div>
    <w:div w:id="431585937">
      <w:bodyDiv w:val="1"/>
      <w:marLeft w:val="0"/>
      <w:marRight w:val="0"/>
      <w:marTop w:val="0"/>
      <w:marBottom w:val="0"/>
      <w:divBdr>
        <w:top w:val="none" w:sz="0" w:space="0" w:color="auto"/>
        <w:left w:val="none" w:sz="0" w:space="0" w:color="auto"/>
        <w:bottom w:val="none" w:sz="0" w:space="0" w:color="auto"/>
        <w:right w:val="none" w:sz="0" w:space="0" w:color="auto"/>
      </w:divBdr>
    </w:div>
    <w:div w:id="582691501">
      <w:bodyDiv w:val="1"/>
      <w:marLeft w:val="0"/>
      <w:marRight w:val="0"/>
      <w:marTop w:val="0"/>
      <w:marBottom w:val="0"/>
      <w:divBdr>
        <w:top w:val="none" w:sz="0" w:space="0" w:color="auto"/>
        <w:left w:val="none" w:sz="0" w:space="0" w:color="auto"/>
        <w:bottom w:val="none" w:sz="0" w:space="0" w:color="auto"/>
        <w:right w:val="none" w:sz="0" w:space="0" w:color="auto"/>
      </w:divBdr>
    </w:div>
    <w:div w:id="583538393">
      <w:bodyDiv w:val="1"/>
      <w:marLeft w:val="0"/>
      <w:marRight w:val="0"/>
      <w:marTop w:val="0"/>
      <w:marBottom w:val="0"/>
      <w:divBdr>
        <w:top w:val="none" w:sz="0" w:space="0" w:color="auto"/>
        <w:left w:val="none" w:sz="0" w:space="0" w:color="auto"/>
        <w:bottom w:val="none" w:sz="0" w:space="0" w:color="auto"/>
        <w:right w:val="none" w:sz="0" w:space="0" w:color="auto"/>
      </w:divBdr>
    </w:div>
    <w:div w:id="866256169">
      <w:bodyDiv w:val="1"/>
      <w:marLeft w:val="0"/>
      <w:marRight w:val="0"/>
      <w:marTop w:val="0"/>
      <w:marBottom w:val="0"/>
      <w:divBdr>
        <w:top w:val="none" w:sz="0" w:space="0" w:color="auto"/>
        <w:left w:val="none" w:sz="0" w:space="0" w:color="auto"/>
        <w:bottom w:val="none" w:sz="0" w:space="0" w:color="auto"/>
        <w:right w:val="none" w:sz="0" w:space="0" w:color="auto"/>
      </w:divBdr>
    </w:div>
    <w:div w:id="1341660098">
      <w:bodyDiv w:val="1"/>
      <w:marLeft w:val="0"/>
      <w:marRight w:val="0"/>
      <w:marTop w:val="0"/>
      <w:marBottom w:val="0"/>
      <w:divBdr>
        <w:top w:val="none" w:sz="0" w:space="0" w:color="auto"/>
        <w:left w:val="none" w:sz="0" w:space="0" w:color="auto"/>
        <w:bottom w:val="none" w:sz="0" w:space="0" w:color="auto"/>
        <w:right w:val="none" w:sz="0" w:space="0" w:color="auto"/>
      </w:divBdr>
    </w:div>
    <w:div w:id="1368138367">
      <w:bodyDiv w:val="1"/>
      <w:marLeft w:val="0"/>
      <w:marRight w:val="0"/>
      <w:marTop w:val="0"/>
      <w:marBottom w:val="0"/>
      <w:divBdr>
        <w:top w:val="none" w:sz="0" w:space="0" w:color="auto"/>
        <w:left w:val="none" w:sz="0" w:space="0" w:color="auto"/>
        <w:bottom w:val="none" w:sz="0" w:space="0" w:color="auto"/>
        <w:right w:val="none" w:sz="0" w:space="0" w:color="auto"/>
      </w:divBdr>
    </w:div>
    <w:div w:id="1590000580">
      <w:bodyDiv w:val="1"/>
      <w:marLeft w:val="0"/>
      <w:marRight w:val="0"/>
      <w:marTop w:val="0"/>
      <w:marBottom w:val="0"/>
      <w:divBdr>
        <w:top w:val="none" w:sz="0" w:space="0" w:color="auto"/>
        <w:left w:val="none" w:sz="0" w:space="0" w:color="auto"/>
        <w:bottom w:val="none" w:sz="0" w:space="0" w:color="auto"/>
        <w:right w:val="none" w:sz="0" w:space="0" w:color="auto"/>
      </w:divBdr>
    </w:div>
    <w:div w:id="2142113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70B27C-BD7F-7245-9E61-E4F91640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8024</Words>
  <Characters>45742</Characters>
  <Application>Microsoft Macintosh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2</cp:revision>
  <dcterms:created xsi:type="dcterms:W3CDTF">2016-11-07T03:43:00Z</dcterms:created>
  <dcterms:modified xsi:type="dcterms:W3CDTF">2016-11-07T03:43:00Z</dcterms:modified>
</cp:coreProperties>
</file>