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C2F7A" w14:textId="77777777" w:rsidR="00DA1236" w:rsidRPr="00786E28" w:rsidRDefault="00DA1236" w:rsidP="00DA123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Conclusion: </w:t>
      </w:r>
      <w:r w:rsidRPr="00786E28">
        <w:rPr>
          <w:b/>
          <w:bCs/>
          <w:lang w:val="en-US"/>
        </w:rPr>
        <w:t>Beyond Student-Centered Classrooms</w:t>
      </w:r>
      <w:r>
        <w:rPr>
          <w:b/>
          <w:bCs/>
          <w:lang w:val="en-US"/>
        </w:rPr>
        <w:t xml:space="preserve"> –</w:t>
      </w:r>
      <w:r w:rsidRPr="00786E28">
        <w:rPr>
          <w:b/>
          <w:bCs/>
          <w:lang w:val="en-US"/>
        </w:rPr>
        <w:t xml:space="preserve"> A Comprehensive Approach to Student-Centered Learning and Teaching Through Student-Centered Ecosystems</w:t>
      </w:r>
      <w:r>
        <w:rPr>
          <w:b/>
          <w:bCs/>
          <w:lang w:val="en-US"/>
        </w:rPr>
        <w:t xml:space="preserve"> Framework</w:t>
      </w:r>
      <w:r w:rsidRPr="00786E28">
        <w:rPr>
          <w:b/>
          <w:bCs/>
          <w:lang w:val="en-US"/>
        </w:rPr>
        <w:t xml:space="preserve"> </w:t>
      </w:r>
    </w:p>
    <w:p w14:paraId="510643C6" w14:textId="77777777" w:rsidR="00DA1236" w:rsidRPr="00786E28" w:rsidRDefault="00DA1236" w:rsidP="00DA1236">
      <w:pPr>
        <w:spacing w:line="360" w:lineRule="auto"/>
        <w:jc w:val="both"/>
        <w:rPr>
          <w:rFonts w:eastAsia="Calibri"/>
          <w:i/>
        </w:rPr>
      </w:pPr>
      <w:r w:rsidRPr="00786E28">
        <w:rPr>
          <w:rFonts w:eastAsia="Calibri"/>
          <w:i/>
        </w:rPr>
        <w:t>Manja Klemenčič</w:t>
      </w:r>
    </w:p>
    <w:p w14:paraId="7862D559" w14:textId="77777777" w:rsidR="00DA1236" w:rsidRPr="00786E28" w:rsidRDefault="00DA1236" w:rsidP="00DA1236">
      <w:pPr>
        <w:spacing w:line="360" w:lineRule="auto"/>
        <w:jc w:val="both"/>
        <w:rPr>
          <w:rFonts w:eastAsia="Calibri"/>
        </w:rPr>
      </w:pPr>
      <w:r w:rsidRPr="00786E28">
        <w:rPr>
          <w:rFonts w:eastAsia="Calibri"/>
        </w:rPr>
        <w:t>Harvard University, United States</w:t>
      </w:r>
    </w:p>
    <w:p w14:paraId="029FB00C" w14:textId="77777777" w:rsidR="00DA1236" w:rsidRPr="00786E28" w:rsidRDefault="00DA1236" w:rsidP="00DA1236">
      <w:pPr>
        <w:spacing w:line="360" w:lineRule="auto"/>
        <w:jc w:val="both"/>
        <w:rPr>
          <w:rFonts w:eastAsia="Calibri"/>
        </w:rPr>
      </w:pPr>
      <w:r w:rsidRPr="00786E28">
        <w:rPr>
          <w:rFonts w:eastAsia="Calibri"/>
        </w:rPr>
        <w:t>0000-0003-4956-2584</w:t>
      </w:r>
    </w:p>
    <w:p w14:paraId="43316173" w14:textId="77777777" w:rsidR="00DA1236" w:rsidRPr="00786E28" w:rsidRDefault="00DA1236" w:rsidP="00DA1236">
      <w:pPr>
        <w:spacing w:line="360" w:lineRule="auto"/>
        <w:jc w:val="both"/>
        <w:rPr>
          <w:rFonts w:eastAsia="Calibri"/>
          <w:i/>
        </w:rPr>
      </w:pPr>
      <w:r w:rsidRPr="00786E28">
        <w:rPr>
          <w:rFonts w:eastAsia="Calibri"/>
          <w:i/>
        </w:rPr>
        <w:t>Sabine Hoidn</w:t>
      </w:r>
    </w:p>
    <w:p w14:paraId="58744F3F" w14:textId="77777777" w:rsidR="00DA1236" w:rsidRPr="00786E28" w:rsidRDefault="00DA1236" w:rsidP="00DA1236">
      <w:pPr>
        <w:spacing w:line="360" w:lineRule="auto"/>
        <w:jc w:val="both"/>
        <w:rPr>
          <w:rFonts w:eastAsia="Calibri"/>
        </w:rPr>
      </w:pPr>
      <w:r w:rsidRPr="00786E28">
        <w:rPr>
          <w:rFonts w:eastAsia="Calibri"/>
        </w:rPr>
        <w:t>University of St. Gallen, Switzerland</w:t>
      </w:r>
    </w:p>
    <w:p w14:paraId="011105E6" w14:textId="77777777" w:rsidR="00DA1236" w:rsidRPr="00786E28" w:rsidRDefault="00DA1236" w:rsidP="00DA1236">
      <w:pPr>
        <w:spacing w:line="360" w:lineRule="auto"/>
        <w:jc w:val="both"/>
        <w:rPr>
          <w:rFonts w:eastAsia="Calibri"/>
        </w:rPr>
      </w:pPr>
      <w:r w:rsidRPr="00786E28">
        <w:rPr>
          <w:rFonts w:eastAsia="Calibri"/>
        </w:rPr>
        <w:t>0000-0002-9181-2623 </w:t>
      </w:r>
    </w:p>
    <w:p w14:paraId="051BEC26" w14:textId="77777777" w:rsidR="00DA1236" w:rsidRDefault="00DA1236" w:rsidP="00DA1236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3F2C00" w14:textId="77777777" w:rsidR="00DA1236" w:rsidRPr="00E05C55" w:rsidRDefault="00DA1236" w:rsidP="00DA1236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Abstract </w:t>
      </w:r>
    </w:p>
    <w:p w14:paraId="6187B1D4" w14:textId="77777777" w:rsidR="00DA1236" w:rsidRDefault="00DA1236" w:rsidP="00DA1236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This chapter is guided by a set of questions: </w:t>
      </w:r>
      <w:r w:rsidRPr="004742C2">
        <w:rPr>
          <w:i/>
          <w:iCs/>
        </w:rPr>
        <w:t>How</w:t>
      </w:r>
      <w:r w:rsidRPr="005F5C18">
        <w:rPr>
          <w:i/>
          <w:iCs/>
        </w:rPr>
        <w:t xml:space="preserve"> </w:t>
      </w:r>
      <w:r>
        <w:rPr>
          <w:i/>
          <w:iCs/>
        </w:rPr>
        <w:t xml:space="preserve">can </w:t>
      </w:r>
      <w:r w:rsidRPr="005F5C18">
        <w:rPr>
          <w:i/>
          <w:iCs/>
        </w:rPr>
        <w:t xml:space="preserve">higher education </w:t>
      </w:r>
      <w:r>
        <w:rPr>
          <w:i/>
          <w:iCs/>
        </w:rPr>
        <w:t xml:space="preserve">through their education mission </w:t>
      </w:r>
      <w:r w:rsidRPr="005F5C18">
        <w:rPr>
          <w:i/>
          <w:iCs/>
        </w:rPr>
        <w:t>best serve its students and the knowledge societies of 21</w:t>
      </w:r>
      <w:r w:rsidRPr="005F5C18">
        <w:rPr>
          <w:i/>
          <w:iCs/>
          <w:vertAlign w:val="superscript"/>
        </w:rPr>
        <w:t>st</w:t>
      </w:r>
      <w:r w:rsidRPr="005F5C18">
        <w:rPr>
          <w:i/>
          <w:iCs/>
        </w:rPr>
        <w:t xml:space="preserve"> century</w:t>
      </w:r>
      <w:r>
        <w:rPr>
          <w:i/>
          <w:iCs/>
        </w:rPr>
        <w:t>? W</w:t>
      </w:r>
      <w:r w:rsidRPr="005F5C18">
        <w:rPr>
          <w:i/>
          <w:iCs/>
        </w:rPr>
        <w:t>hat kind of learning and teaching</w:t>
      </w:r>
      <w:r>
        <w:rPr>
          <w:i/>
          <w:iCs/>
        </w:rPr>
        <w:t xml:space="preserve"> policies and practices do</w:t>
      </w:r>
      <w:r w:rsidRPr="005F5C18">
        <w:rPr>
          <w:i/>
          <w:iCs/>
        </w:rPr>
        <w:t xml:space="preserve"> we need</w:t>
      </w:r>
      <w:r>
        <w:rPr>
          <w:i/>
          <w:iCs/>
        </w:rPr>
        <w:t>?</w:t>
      </w:r>
      <w:r w:rsidRPr="005F5C18">
        <w:rPr>
          <w:i/>
          <w:iCs/>
        </w:rPr>
        <w:t xml:space="preserve"> </w:t>
      </w:r>
      <w:r w:rsidRPr="004742C2">
        <w:t>and</w:t>
      </w:r>
      <w:r w:rsidRPr="005F5C18">
        <w:rPr>
          <w:i/>
          <w:iCs/>
        </w:rPr>
        <w:t xml:space="preserve"> </w:t>
      </w:r>
      <w:r>
        <w:rPr>
          <w:i/>
          <w:iCs/>
        </w:rPr>
        <w:t>H</w:t>
      </w:r>
      <w:r w:rsidRPr="005F5C18">
        <w:rPr>
          <w:i/>
          <w:iCs/>
        </w:rPr>
        <w:t xml:space="preserve">ow can we support </w:t>
      </w:r>
      <w:r>
        <w:rPr>
          <w:i/>
          <w:iCs/>
        </w:rPr>
        <w:t xml:space="preserve">the </w:t>
      </w:r>
      <w:r w:rsidRPr="005F5C18">
        <w:rPr>
          <w:i/>
          <w:iCs/>
        </w:rPr>
        <w:t>development of such learning and teaching in higher education</w:t>
      </w:r>
      <w:r>
        <w:t xml:space="preserve">? In addressing these questions, we revisit the two main arguments made in this Handbook. </w:t>
      </w:r>
      <w:r w:rsidRPr="00786E28">
        <w:t xml:space="preserve">First, student-centered learning and teaching (SCLT) have the potential to foster student learning at higher levels of cognitive activity and thus </w:t>
      </w:r>
      <w:r>
        <w:t>enable</w:t>
      </w:r>
      <w:r w:rsidRPr="00786E28">
        <w:t xml:space="preserve"> deeper learning. Second, SCLT processes are embedded in and enabled by broader institutional </w:t>
      </w:r>
      <w:r>
        <w:t xml:space="preserve">(and national and supranational) environments that consist of a </w:t>
      </w:r>
      <w:r w:rsidRPr="00786E28">
        <w:t xml:space="preserve">variety of </w:t>
      </w:r>
      <w:r>
        <w:t xml:space="preserve">components and related </w:t>
      </w:r>
      <w:r w:rsidRPr="00786E28">
        <w:t>elements – both human and material</w:t>
      </w:r>
      <w:r>
        <w:t xml:space="preserve">. These components and elements, we argue, constitute </w:t>
      </w:r>
      <w:r>
        <w:rPr>
          <w:i/>
          <w:iCs/>
        </w:rPr>
        <w:t>s</w:t>
      </w:r>
      <w:r w:rsidRPr="06597DFF">
        <w:rPr>
          <w:i/>
          <w:iCs/>
        </w:rPr>
        <w:t>tudent-centered ecosystems</w:t>
      </w:r>
      <w:r w:rsidRPr="06597DFF">
        <w:t xml:space="preserve"> </w:t>
      </w:r>
      <w:r w:rsidRPr="06597DFF">
        <w:rPr>
          <w:i/>
          <w:iCs/>
        </w:rPr>
        <w:t>(SCEs)</w:t>
      </w:r>
      <w:r>
        <w:t xml:space="preserve">. SCEs are defined </w:t>
      </w:r>
      <w:r w:rsidRPr="06597DFF">
        <w:t>as culturally sensitive, flexible and interactive systems of SCLT in higher education</w:t>
      </w:r>
      <w:r>
        <w:t xml:space="preserve"> which exist both within higher education institutions and in higher education systems</w:t>
      </w:r>
      <w:r w:rsidRPr="06597DFF">
        <w:t>.</w:t>
      </w:r>
      <w:r>
        <w:t xml:space="preserve"> We introduce a </w:t>
      </w:r>
      <w:r w:rsidRPr="00786E28">
        <w:t xml:space="preserve">SCEs </w:t>
      </w:r>
      <w:r>
        <w:t>framework consisting of five</w:t>
      </w:r>
      <w:r w:rsidRPr="00786E28">
        <w:t xml:space="preserve"> components: (1) </w:t>
      </w:r>
      <w:r w:rsidRPr="00786E28">
        <w:rPr>
          <w:i/>
        </w:rPr>
        <w:t>C</w:t>
      </w:r>
      <w:r w:rsidRPr="00786E28">
        <w:rPr>
          <w:i/>
          <w:iCs/>
        </w:rPr>
        <w:t>urriculum, pedagogy and assessment</w:t>
      </w:r>
      <w:r w:rsidRPr="00786E28">
        <w:t xml:space="preserve">, (2) </w:t>
      </w:r>
      <w:r w:rsidRPr="00786E28">
        <w:rPr>
          <w:i/>
        </w:rPr>
        <w:t>Teaching and learning</w:t>
      </w:r>
      <w:r w:rsidRPr="00786E28">
        <w:t xml:space="preserve"> </w:t>
      </w:r>
      <w:r w:rsidRPr="00786E28">
        <w:rPr>
          <w:i/>
          <w:iCs/>
        </w:rPr>
        <w:t>support</w:t>
      </w:r>
      <w:r w:rsidRPr="00786E28">
        <w:rPr>
          <w:i/>
        </w:rPr>
        <w:t xml:space="preserve">, </w:t>
      </w:r>
      <w:r w:rsidRPr="00751712">
        <w:t>(3)</w:t>
      </w:r>
      <w:r w:rsidRPr="00786E28">
        <w:rPr>
          <w:i/>
        </w:rPr>
        <w:t xml:space="preserve"> </w:t>
      </w:r>
      <w:r>
        <w:rPr>
          <w:i/>
        </w:rPr>
        <w:t xml:space="preserve">Quality of learning and teaching, </w:t>
      </w:r>
      <w:r w:rsidRPr="0031400C">
        <w:t>(4)</w:t>
      </w:r>
      <w:r>
        <w:rPr>
          <w:i/>
        </w:rPr>
        <w:t xml:space="preserve"> </w:t>
      </w:r>
      <w:r w:rsidRPr="00786E28">
        <w:rPr>
          <w:i/>
        </w:rPr>
        <w:t>G</w:t>
      </w:r>
      <w:r w:rsidRPr="00786E28">
        <w:rPr>
          <w:i/>
          <w:iCs/>
        </w:rPr>
        <w:t>overnance</w:t>
      </w:r>
      <w:r>
        <w:rPr>
          <w:i/>
          <w:iCs/>
        </w:rPr>
        <w:t xml:space="preserve"> and </w:t>
      </w:r>
      <w:r w:rsidRPr="00786E28">
        <w:rPr>
          <w:i/>
          <w:iCs/>
        </w:rPr>
        <w:t>administration</w:t>
      </w:r>
      <w:r w:rsidRPr="00786E28">
        <w:t>, and (</w:t>
      </w:r>
      <w:r>
        <w:t>5</w:t>
      </w:r>
      <w:r w:rsidRPr="00786E28">
        <w:t xml:space="preserve">) </w:t>
      </w:r>
      <w:r w:rsidRPr="00786E28">
        <w:rPr>
          <w:i/>
          <w:iCs/>
        </w:rPr>
        <w:t>Policies</w:t>
      </w:r>
      <w:r>
        <w:rPr>
          <w:i/>
          <w:iCs/>
        </w:rPr>
        <w:t xml:space="preserve"> and finance</w:t>
      </w:r>
      <w:r w:rsidRPr="00786E28">
        <w:t>.</w:t>
      </w:r>
      <w:r>
        <w:t xml:space="preserve"> Each of these components </w:t>
      </w:r>
      <w:r w:rsidRPr="00786E28">
        <w:t>collectively – in an aligned and mutually reinforcing way</w:t>
      </w:r>
      <w:r>
        <w:t xml:space="preserve"> </w:t>
      </w:r>
      <w:r w:rsidRPr="00786E28">
        <w:t xml:space="preserve">– </w:t>
      </w:r>
      <w:r>
        <w:t>constitute</w:t>
      </w:r>
      <w:r w:rsidRPr="00786E28">
        <w:t xml:space="preserve"> SCEs and enable SCLT</w:t>
      </w:r>
      <w:r>
        <w:t>. And e</w:t>
      </w:r>
      <w:r w:rsidRPr="00786E28">
        <w:t>ach of these components comprises several elements which can serve as indicators of presence of SCLT in a given institution</w:t>
      </w:r>
      <w:r>
        <w:t>,</w:t>
      </w:r>
      <w:r w:rsidRPr="00786E28">
        <w:t xml:space="preserve"> study program</w:t>
      </w:r>
      <w:r>
        <w:t xml:space="preserve"> or higher education system</w:t>
      </w:r>
      <w:r w:rsidRPr="00786E28">
        <w:t xml:space="preserve">. This concluding chapter </w:t>
      </w:r>
      <w:r>
        <w:t>introduces the</w:t>
      </w:r>
      <w:r w:rsidRPr="00786E28">
        <w:t xml:space="preserve"> SCEs</w:t>
      </w:r>
      <w:r>
        <w:t xml:space="preserve"> framework</w:t>
      </w:r>
      <w:r w:rsidRPr="00786E28">
        <w:t xml:space="preserve"> and </w:t>
      </w:r>
      <w:r>
        <w:t>develops</w:t>
      </w:r>
      <w:r w:rsidRPr="00786E28">
        <w:t xml:space="preserve"> </w:t>
      </w:r>
      <w:r>
        <w:t>the</w:t>
      </w:r>
      <w:r w:rsidRPr="00786E28">
        <w:t xml:space="preserve"> main components and underlying </w:t>
      </w:r>
      <w:r>
        <w:t>indicators of SCEs</w:t>
      </w:r>
      <w:r w:rsidRPr="00786E28">
        <w:t xml:space="preserve">. </w:t>
      </w:r>
    </w:p>
    <w:p w14:paraId="5AD412EA" w14:textId="77777777" w:rsidR="00947C09" w:rsidRDefault="00DA1236">
      <w:bookmarkStart w:id="0" w:name="_GoBack"/>
      <w:bookmarkEnd w:id="0"/>
    </w:p>
    <w:sectPr w:rsidR="00947C09" w:rsidSect="008C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36"/>
    <w:rsid w:val="00042E11"/>
    <w:rsid w:val="00062A60"/>
    <w:rsid w:val="00081178"/>
    <w:rsid w:val="00103CB3"/>
    <w:rsid w:val="0011495F"/>
    <w:rsid w:val="00153325"/>
    <w:rsid w:val="00162FB0"/>
    <w:rsid w:val="001928A7"/>
    <w:rsid w:val="001D11D1"/>
    <w:rsid w:val="001E22AE"/>
    <w:rsid w:val="001E24F7"/>
    <w:rsid w:val="00254BE0"/>
    <w:rsid w:val="00266C40"/>
    <w:rsid w:val="002829D2"/>
    <w:rsid w:val="002A54A2"/>
    <w:rsid w:val="002A7667"/>
    <w:rsid w:val="002C2E50"/>
    <w:rsid w:val="002E7C52"/>
    <w:rsid w:val="00300D90"/>
    <w:rsid w:val="003138EF"/>
    <w:rsid w:val="00370DC3"/>
    <w:rsid w:val="00390040"/>
    <w:rsid w:val="003A7AC1"/>
    <w:rsid w:val="003D7CE2"/>
    <w:rsid w:val="004B4BC5"/>
    <w:rsid w:val="004C667C"/>
    <w:rsid w:val="004C7920"/>
    <w:rsid w:val="0051584F"/>
    <w:rsid w:val="0053259C"/>
    <w:rsid w:val="005F3B37"/>
    <w:rsid w:val="00636976"/>
    <w:rsid w:val="006A44BC"/>
    <w:rsid w:val="006A624C"/>
    <w:rsid w:val="006B1E97"/>
    <w:rsid w:val="006B57C4"/>
    <w:rsid w:val="006C7C05"/>
    <w:rsid w:val="006F0839"/>
    <w:rsid w:val="006F59F0"/>
    <w:rsid w:val="00745A55"/>
    <w:rsid w:val="00746B6F"/>
    <w:rsid w:val="00762C9F"/>
    <w:rsid w:val="00847E35"/>
    <w:rsid w:val="008B5625"/>
    <w:rsid w:val="008C5E4D"/>
    <w:rsid w:val="008C766A"/>
    <w:rsid w:val="009229D4"/>
    <w:rsid w:val="00947095"/>
    <w:rsid w:val="009D5602"/>
    <w:rsid w:val="009F5212"/>
    <w:rsid w:val="00A20D0F"/>
    <w:rsid w:val="00A34205"/>
    <w:rsid w:val="00A35B5B"/>
    <w:rsid w:val="00A828FC"/>
    <w:rsid w:val="00A92F01"/>
    <w:rsid w:val="00AA4DBF"/>
    <w:rsid w:val="00AE603B"/>
    <w:rsid w:val="00B30E96"/>
    <w:rsid w:val="00B8728B"/>
    <w:rsid w:val="00BF6898"/>
    <w:rsid w:val="00C17E30"/>
    <w:rsid w:val="00C36E23"/>
    <w:rsid w:val="00C475F1"/>
    <w:rsid w:val="00D77AF5"/>
    <w:rsid w:val="00DA1236"/>
    <w:rsid w:val="00DC3CBA"/>
    <w:rsid w:val="00DC69E6"/>
    <w:rsid w:val="00DC79A5"/>
    <w:rsid w:val="00DD192F"/>
    <w:rsid w:val="00DE6D99"/>
    <w:rsid w:val="00E23DFD"/>
    <w:rsid w:val="00E969E6"/>
    <w:rsid w:val="00F0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3FD17"/>
  <w14:defaultImageDpi w14:val="32767"/>
  <w15:chartTrackingRefBased/>
  <w15:docId w15:val="{1318E0AB-4E4B-1847-A0F3-626B2ADD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123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4"/>
    <w:qFormat/>
    <w:rsid w:val="00DA12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D77AF5"/>
    <w:pPr>
      <w:widowControl w:val="0"/>
      <w:tabs>
        <w:tab w:val="left" w:pos="220"/>
        <w:tab w:val="left" w:pos="720"/>
      </w:tabs>
      <w:autoSpaceDE w:val="0"/>
      <w:autoSpaceDN w:val="0"/>
      <w:adjustRightInd w:val="0"/>
      <w:spacing w:after="320" w:line="360" w:lineRule="atLeast"/>
      <w:jc w:val="both"/>
    </w:pPr>
    <w:rPr>
      <w:rFonts w:ascii="Garamond" w:eastAsiaTheme="minorHAnsi" w:hAnsi="Garamond"/>
      <w:color w:val="000000"/>
      <w:sz w:val="28"/>
      <w:szCs w:val="32"/>
    </w:rPr>
  </w:style>
  <w:style w:type="paragraph" w:customStyle="1" w:styleId="Style3">
    <w:name w:val="Style3"/>
    <w:basedOn w:val="Style2"/>
    <w:qFormat/>
    <w:rsid w:val="00D77AF5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4"/>
    <w:rsid w:val="00DA1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A1236"/>
    <w:pPr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Klemencic, Manja</dc:creator>
  <cp:keywords/>
  <dc:description/>
  <cp:lastModifiedBy>Klemencic, Manja</cp:lastModifiedBy>
  <cp:revision>1</cp:revision>
  <dcterms:created xsi:type="dcterms:W3CDTF">2019-12-18T17:34:00Z</dcterms:created>
  <dcterms:modified xsi:type="dcterms:W3CDTF">2019-12-18T17:35:00Z</dcterms:modified>
</cp:coreProperties>
</file>