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39006" w14:textId="17E79342" w:rsidR="00170769" w:rsidRPr="00507EAC" w:rsidRDefault="00BF3419">
      <w:pPr>
        <w:pStyle w:val="Title"/>
        <w:rPr>
          <w:rFonts w:ascii="Times New Roman" w:eastAsia="Times New Roman" w:hAnsi="Times New Roman" w:cs="Times New Roman"/>
          <w:b/>
          <w:sz w:val="36"/>
          <w:szCs w:val="36"/>
        </w:rPr>
      </w:pPr>
      <w:bookmarkStart w:id="0" w:name="_zfflcljx3k1o" w:colFirst="0" w:colLast="0"/>
      <w:bookmarkEnd w:id="0"/>
      <w:r w:rsidRPr="00507EAC">
        <w:rPr>
          <w:rFonts w:ascii="Times New Roman" w:eastAsia="Times New Roman" w:hAnsi="Times New Roman" w:cs="Times New Roman"/>
          <w:b/>
          <w:sz w:val="36"/>
          <w:szCs w:val="36"/>
        </w:rPr>
        <w:t xml:space="preserve">A Theory of Student Agency in Higher Education </w:t>
      </w:r>
    </w:p>
    <w:p w14:paraId="4789224D" w14:textId="77777777" w:rsidR="00170769" w:rsidRDefault="00170769">
      <w:pPr>
        <w:rPr>
          <w:rFonts w:ascii="Times New Roman" w:eastAsia="Times New Roman" w:hAnsi="Times New Roman" w:cs="Times New Roman"/>
          <w:b/>
          <w:sz w:val="24"/>
          <w:szCs w:val="24"/>
          <w:highlight w:val="white"/>
        </w:rPr>
      </w:pPr>
    </w:p>
    <w:p w14:paraId="72F5C1EE" w14:textId="580C38BA" w:rsidR="00170769" w:rsidRDefault="00BF3419">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Manja Klemenčič, Harvard University</w:t>
      </w:r>
      <w:r w:rsidR="00E55D66">
        <w:rPr>
          <w:rFonts w:ascii="Times New Roman" w:eastAsia="Times New Roman" w:hAnsi="Times New Roman" w:cs="Times New Roman"/>
          <w:sz w:val="24"/>
          <w:szCs w:val="24"/>
          <w:highlight w:val="white"/>
        </w:rPr>
        <w:t xml:space="preserve"> and University of Ljubljana (secondary affiliation)</w:t>
      </w:r>
    </w:p>
    <w:p w14:paraId="591DBF1F" w14:textId="77777777" w:rsidR="00170769" w:rsidRDefault="00BF3419">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manjaklemencic@g.harvard.edu</w:t>
      </w:r>
    </w:p>
    <w:p w14:paraId="6539E53F" w14:textId="77777777" w:rsidR="00170769" w:rsidRDefault="00BF3419">
      <w:pPr>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 xml:space="preserve"> </w:t>
      </w:r>
    </w:p>
    <w:p w14:paraId="791C8BAF" w14:textId="77777777" w:rsidR="00170769" w:rsidRDefault="00170769">
      <w:pPr>
        <w:spacing w:line="240" w:lineRule="auto"/>
        <w:rPr>
          <w:rFonts w:ascii="Times New Roman" w:eastAsia="Times New Roman" w:hAnsi="Times New Roman" w:cs="Times New Roman"/>
          <w:b/>
          <w:sz w:val="24"/>
          <w:szCs w:val="24"/>
          <w:highlight w:val="white"/>
        </w:rPr>
      </w:pPr>
    </w:p>
    <w:p w14:paraId="5727A4B2" w14:textId="77777777" w:rsidR="00170769" w:rsidRDefault="00BF3419">
      <w:pPr>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Keywords: student agency, student experiences, student outcomes, student impact on higher education, higher education, theory of student agency in higher education</w:t>
      </w:r>
    </w:p>
    <w:p w14:paraId="26E61EB3" w14:textId="77777777" w:rsidR="00170769" w:rsidRDefault="00170769">
      <w:pPr>
        <w:spacing w:line="240" w:lineRule="auto"/>
        <w:rPr>
          <w:rFonts w:ascii="Times New Roman" w:eastAsia="Times New Roman" w:hAnsi="Times New Roman" w:cs="Times New Roman"/>
          <w:b/>
          <w:sz w:val="24"/>
          <w:szCs w:val="24"/>
          <w:highlight w:val="white"/>
        </w:rPr>
      </w:pPr>
    </w:p>
    <w:p w14:paraId="0B7C83ED" w14:textId="77777777" w:rsidR="00CA54A5" w:rsidRDefault="00CA54A5" w:rsidP="00CA54A5">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Submission version to the </w:t>
      </w:r>
      <w:r w:rsidRPr="00CA54A5">
        <w:rPr>
          <w:rFonts w:ascii="Times New Roman" w:eastAsia="Times New Roman" w:hAnsi="Times New Roman" w:cs="Times New Roman"/>
          <w:i/>
          <w:iCs/>
          <w:sz w:val="24"/>
          <w:szCs w:val="24"/>
        </w:rPr>
        <w:t>Research Handbook on Student Experiences in Higher Education</w:t>
      </w:r>
      <w:r>
        <w:rPr>
          <w:rFonts w:ascii="Times New Roman" w:eastAsia="Times New Roman" w:hAnsi="Times New Roman" w:cs="Times New Roman"/>
          <w:sz w:val="24"/>
          <w:szCs w:val="24"/>
        </w:rPr>
        <w:t xml:space="preserve">, edited by Chi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and Ella </w:t>
      </w:r>
      <w:proofErr w:type="spellStart"/>
      <w:r>
        <w:rPr>
          <w:rFonts w:ascii="Times New Roman" w:eastAsia="Times New Roman" w:hAnsi="Times New Roman" w:cs="Times New Roman"/>
          <w:sz w:val="24"/>
          <w:szCs w:val="24"/>
        </w:rPr>
        <w:t>Kahu</w:t>
      </w:r>
      <w:proofErr w:type="spellEnd"/>
    </w:p>
    <w:p w14:paraId="5B55F3F2" w14:textId="77777777" w:rsidR="00CA54A5" w:rsidRDefault="00CA54A5">
      <w:pPr>
        <w:spacing w:line="240" w:lineRule="auto"/>
        <w:rPr>
          <w:rFonts w:ascii="Times New Roman" w:eastAsia="Times New Roman" w:hAnsi="Times New Roman" w:cs="Times New Roman"/>
          <w:sz w:val="24"/>
          <w:szCs w:val="24"/>
          <w:highlight w:val="white"/>
        </w:rPr>
      </w:pPr>
    </w:p>
    <w:p w14:paraId="6534914A" w14:textId="713D64EE" w:rsidR="00170769" w:rsidRDefault="00BF3419">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Wordcount: 8</w:t>
      </w:r>
      <w:r w:rsidR="001A771B">
        <w:rPr>
          <w:rFonts w:ascii="Times New Roman" w:eastAsia="Times New Roman" w:hAnsi="Times New Roman" w:cs="Times New Roman"/>
          <w:sz w:val="24"/>
          <w:szCs w:val="24"/>
          <w:highlight w:val="white"/>
        </w:rPr>
        <w:t>3</w:t>
      </w:r>
      <w:r w:rsidR="00CA54A5">
        <w:rPr>
          <w:rFonts w:ascii="Times New Roman" w:eastAsia="Times New Roman" w:hAnsi="Times New Roman" w:cs="Times New Roman"/>
          <w:sz w:val="24"/>
          <w:szCs w:val="24"/>
          <w:highlight w:val="white"/>
        </w:rPr>
        <w:t>72</w:t>
      </w:r>
      <w:r>
        <w:rPr>
          <w:rFonts w:ascii="Times New Roman" w:eastAsia="Times New Roman" w:hAnsi="Times New Roman" w:cs="Times New Roman"/>
          <w:sz w:val="24"/>
          <w:szCs w:val="24"/>
          <w:highlight w:val="white"/>
        </w:rPr>
        <w:t xml:space="preserve"> </w:t>
      </w:r>
      <w:r w:rsidR="001A771B">
        <w:rPr>
          <w:rFonts w:ascii="Times New Roman" w:eastAsia="Times New Roman" w:hAnsi="Times New Roman" w:cs="Times New Roman"/>
          <w:sz w:val="24"/>
          <w:szCs w:val="24"/>
          <w:highlight w:val="white"/>
        </w:rPr>
        <w:t>(total)</w:t>
      </w:r>
    </w:p>
    <w:p w14:paraId="7A651379" w14:textId="77777777" w:rsidR="00170769" w:rsidRDefault="00BF3419">
      <w:pPr>
        <w:pStyle w:val="Heading1"/>
        <w:rPr>
          <w:rFonts w:ascii="Times New Roman" w:eastAsia="Times New Roman" w:hAnsi="Times New Roman" w:cs="Times New Roman"/>
          <w:b/>
          <w:sz w:val="24"/>
          <w:szCs w:val="24"/>
        </w:rPr>
      </w:pPr>
      <w:bookmarkStart w:id="1" w:name="_zcrmky6lz1vz" w:colFirst="0" w:colLast="0"/>
      <w:bookmarkEnd w:id="1"/>
      <w:r>
        <w:rPr>
          <w:rFonts w:ascii="Times New Roman" w:eastAsia="Times New Roman" w:hAnsi="Times New Roman" w:cs="Times New Roman"/>
          <w:b/>
          <w:sz w:val="24"/>
          <w:szCs w:val="24"/>
        </w:rPr>
        <w:t>Abstract</w:t>
      </w:r>
    </w:p>
    <w:p w14:paraId="12A8F5AE" w14:textId="0EF6B736" w:rsidR="00170769" w:rsidRDefault="00BF3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This chapter </w:t>
      </w:r>
      <w:r w:rsidR="00E55D66">
        <w:rPr>
          <w:rFonts w:ascii="Times New Roman" w:eastAsia="Times New Roman" w:hAnsi="Times New Roman" w:cs="Times New Roman"/>
          <w:sz w:val="24"/>
          <w:szCs w:val="24"/>
          <w:highlight w:val="white"/>
        </w:rPr>
        <w:t>proposes</w:t>
      </w:r>
      <w:r>
        <w:rPr>
          <w:rFonts w:ascii="Times New Roman" w:eastAsia="Times New Roman" w:hAnsi="Times New Roman" w:cs="Times New Roman"/>
          <w:sz w:val="24"/>
          <w:szCs w:val="24"/>
          <w:highlight w:val="white"/>
        </w:rPr>
        <w:t xml:space="preserve"> a theory of student agency in higher education as an overarching framework for structuring ideas about conditions of student experiences and student </w:t>
      </w:r>
      <w:r w:rsidR="00E55D66">
        <w:rPr>
          <w:rFonts w:ascii="Times New Roman" w:eastAsia="Times New Roman" w:hAnsi="Times New Roman" w:cs="Times New Roman"/>
          <w:sz w:val="24"/>
          <w:szCs w:val="24"/>
          <w:highlight w:val="white"/>
        </w:rPr>
        <w:t>outcomes</w:t>
      </w:r>
      <w:r>
        <w:rPr>
          <w:rFonts w:ascii="Times New Roman" w:eastAsia="Times New Roman" w:hAnsi="Times New Roman" w:cs="Times New Roman"/>
          <w:sz w:val="24"/>
          <w:szCs w:val="24"/>
          <w:highlight w:val="white"/>
        </w:rPr>
        <w:t xml:space="preserve"> in higher education. Student agency is defined as students’</w:t>
      </w:r>
      <w:r w:rsidR="000B4414">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capabilities to navigate and influence their learning and education pathways and environments. </w:t>
      </w:r>
      <w:r>
        <w:rPr>
          <w:rFonts w:ascii="Times New Roman" w:eastAsia="Times New Roman" w:hAnsi="Times New Roman" w:cs="Times New Roman"/>
          <w:sz w:val="24"/>
          <w:szCs w:val="24"/>
        </w:rPr>
        <w:t>The STUDENTAGENCY model accounts for time, space and place dynamics to explain the double “conversion</w:t>
      </w:r>
      <w:r w:rsidR="00D332C0">
        <w:rPr>
          <w:rFonts w:ascii="Times New Roman" w:eastAsia="Times New Roman" w:hAnsi="Times New Roman" w:cs="Times New Roman"/>
          <w:sz w:val="24"/>
          <w:szCs w:val="24"/>
        </w:rPr>
        <w:t>”</w:t>
      </w:r>
      <w:r w:rsidR="00E55D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conversion of agentic orientations into a set of capabilities that comprise student agency</w:t>
      </w:r>
      <w:r w:rsidR="00E55D66">
        <w:rPr>
          <w:rFonts w:ascii="Times New Roman" w:eastAsia="Times New Roman" w:hAnsi="Times New Roman" w:cs="Times New Roman"/>
          <w:sz w:val="24"/>
          <w:szCs w:val="24"/>
        </w:rPr>
        <w:t>, and conversion of</w:t>
      </w:r>
      <w:r>
        <w:rPr>
          <w:rFonts w:ascii="Times New Roman" w:eastAsia="Times New Roman" w:hAnsi="Times New Roman" w:cs="Times New Roman"/>
          <w:sz w:val="24"/>
          <w:szCs w:val="24"/>
        </w:rPr>
        <w:t xml:space="preserve"> </w:t>
      </w:r>
      <w:r w:rsidR="00D332C0">
        <w:rPr>
          <w:rFonts w:ascii="Times New Roman" w:eastAsia="Times New Roman" w:hAnsi="Times New Roman" w:cs="Times New Roman"/>
          <w:sz w:val="24"/>
          <w:szCs w:val="24"/>
        </w:rPr>
        <w:t>student agency</w:t>
      </w:r>
      <w:r>
        <w:rPr>
          <w:rFonts w:ascii="Times New Roman" w:eastAsia="Times New Roman" w:hAnsi="Times New Roman" w:cs="Times New Roman"/>
          <w:sz w:val="24"/>
          <w:szCs w:val="24"/>
        </w:rPr>
        <w:t xml:space="preserve"> </w:t>
      </w:r>
      <w:r w:rsidR="00E55D66">
        <w:rPr>
          <w:rFonts w:ascii="Times New Roman" w:eastAsia="Times New Roman" w:hAnsi="Times New Roman" w:cs="Times New Roman"/>
          <w:sz w:val="24"/>
          <w:szCs w:val="24"/>
        </w:rPr>
        <w:t>into</w:t>
      </w:r>
      <w:r>
        <w:rPr>
          <w:rFonts w:ascii="Times New Roman" w:eastAsia="Times New Roman" w:hAnsi="Times New Roman" w:cs="Times New Roman"/>
          <w:sz w:val="24"/>
          <w:szCs w:val="24"/>
        </w:rPr>
        <w:t xml:space="preserve"> student experiences and outcomes. </w:t>
      </w:r>
      <w:r w:rsidR="00D332C0">
        <w:rPr>
          <w:rFonts w:ascii="Times New Roman" w:eastAsia="Times New Roman" w:hAnsi="Times New Roman" w:cs="Times New Roman"/>
          <w:sz w:val="24"/>
          <w:szCs w:val="24"/>
        </w:rPr>
        <w:t>It expounds on the proposition that</w:t>
      </w:r>
      <w:r w:rsidR="00D332C0" w:rsidRPr="00D332C0">
        <w:rPr>
          <w:rFonts w:ascii="Times New Roman" w:eastAsia="Times New Roman" w:hAnsi="Times New Roman" w:cs="Times New Roman"/>
          <w:iCs/>
          <w:sz w:val="24"/>
          <w:szCs w:val="24"/>
        </w:rPr>
        <w:t xml:space="preserve"> </w:t>
      </w:r>
      <w:r w:rsidR="00D332C0">
        <w:rPr>
          <w:rFonts w:ascii="Times New Roman" w:eastAsia="Times New Roman" w:hAnsi="Times New Roman" w:cs="Times New Roman"/>
          <w:iCs/>
          <w:sz w:val="24"/>
          <w:szCs w:val="24"/>
        </w:rPr>
        <w:t xml:space="preserve">student agency </w:t>
      </w:r>
      <w:r w:rsidR="00D332C0" w:rsidRPr="008E191C">
        <w:rPr>
          <w:rFonts w:ascii="Times New Roman" w:eastAsia="Times New Roman" w:hAnsi="Times New Roman" w:cs="Times New Roman"/>
          <w:iCs/>
          <w:sz w:val="24"/>
          <w:szCs w:val="24"/>
        </w:rPr>
        <w:t xml:space="preserve">is both a condition </w:t>
      </w:r>
      <w:r w:rsidR="00D332C0">
        <w:rPr>
          <w:rFonts w:ascii="Times New Roman" w:eastAsia="Times New Roman" w:hAnsi="Times New Roman" w:cs="Times New Roman"/>
          <w:iCs/>
          <w:sz w:val="24"/>
          <w:szCs w:val="24"/>
        </w:rPr>
        <w:t>for</w:t>
      </w:r>
      <w:r w:rsidR="00D332C0" w:rsidRPr="008E191C">
        <w:rPr>
          <w:rFonts w:ascii="Times New Roman" w:eastAsia="Times New Roman" w:hAnsi="Times New Roman" w:cs="Times New Roman"/>
          <w:iCs/>
          <w:sz w:val="24"/>
          <w:szCs w:val="24"/>
        </w:rPr>
        <w:t xml:space="preserve"> students’ self-formation and an outcome of it </w:t>
      </w:r>
      <w:r w:rsidR="00D332C0">
        <w:rPr>
          <w:rFonts w:ascii="Times New Roman" w:eastAsia="Times New Roman" w:hAnsi="Times New Roman" w:cs="Times New Roman"/>
          <w:sz w:val="24"/>
          <w:szCs w:val="24"/>
        </w:rPr>
        <w:t xml:space="preserve">(Klemenčič 2015a). </w:t>
      </w:r>
      <w:r>
        <w:rPr>
          <w:rFonts w:ascii="Times New Roman" w:eastAsia="Times New Roman" w:hAnsi="Times New Roman" w:cs="Times New Roman"/>
          <w:sz w:val="24"/>
          <w:szCs w:val="24"/>
        </w:rPr>
        <w:t>The theory of student agency shifts attention from institutional structures and processes, and student engagement with these, to students’ capabilities</w:t>
      </w:r>
      <w:r w:rsidR="00D332C0">
        <w:rPr>
          <w:rFonts w:ascii="Times New Roman" w:eastAsia="Times New Roman" w:hAnsi="Times New Roman" w:cs="Times New Roman"/>
          <w:sz w:val="24"/>
          <w:szCs w:val="24"/>
        </w:rPr>
        <w:t xml:space="preserve">, such as </w:t>
      </w:r>
      <w:r w:rsidR="00D332C0">
        <w:rPr>
          <w:rFonts w:ascii="Times New Roman" w:eastAsia="Times New Roman" w:hAnsi="Times New Roman" w:cs="Times New Roman"/>
          <w:sz w:val="24"/>
          <w:szCs w:val="24"/>
          <w:highlight w:val="white"/>
        </w:rPr>
        <w:t xml:space="preserve">intentionality, forethought, self-regulation and reflexivity, self-awareness and self-efficacy guiding student interactions and engagements that build their experiences and result in outcomes. </w:t>
      </w:r>
      <w:r w:rsidR="00E55D66">
        <w:rPr>
          <w:rFonts w:ascii="Times New Roman" w:eastAsia="Times New Roman" w:hAnsi="Times New Roman" w:cs="Times New Roman"/>
          <w:sz w:val="24"/>
          <w:szCs w:val="24"/>
        </w:rPr>
        <w:t xml:space="preserve">The chapter </w:t>
      </w:r>
      <w:r>
        <w:rPr>
          <w:rFonts w:ascii="Times New Roman" w:eastAsia="Times New Roman" w:hAnsi="Times New Roman" w:cs="Times New Roman"/>
          <w:sz w:val="24"/>
          <w:szCs w:val="24"/>
        </w:rPr>
        <w:t xml:space="preserve"> is guided by three questions: (1) What is student agency and what are student outcomes of higher education? (2) What are the student agency dynamics across, time, space, and place in higher education (and in transnational higher education cooperation)? (3) How does student agency affect student outcomes? </w:t>
      </w:r>
    </w:p>
    <w:p w14:paraId="76E5DD43" w14:textId="77777777" w:rsidR="00170769" w:rsidRDefault="00170769">
      <w:pPr>
        <w:jc w:val="both"/>
        <w:rPr>
          <w:rFonts w:ascii="Times New Roman" w:eastAsia="Times New Roman" w:hAnsi="Times New Roman" w:cs="Times New Roman"/>
          <w:sz w:val="24"/>
          <w:szCs w:val="24"/>
        </w:rPr>
      </w:pPr>
    </w:p>
    <w:p w14:paraId="6B66575C" w14:textId="77777777" w:rsidR="00170769" w:rsidRDefault="00170769">
      <w:pPr>
        <w:jc w:val="both"/>
        <w:rPr>
          <w:rFonts w:ascii="Times New Roman" w:eastAsia="Times New Roman" w:hAnsi="Times New Roman" w:cs="Times New Roman"/>
          <w:sz w:val="24"/>
          <w:szCs w:val="24"/>
          <w:highlight w:val="white"/>
        </w:rPr>
      </w:pPr>
    </w:p>
    <w:p w14:paraId="503266B9" w14:textId="77777777" w:rsidR="00170769" w:rsidRDefault="00170769">
      <w:pPr>
        <w:jc w:val="both"/>
        <w:rPr>
          <w:rFonts w:ascii="Times New Roman" w:eastAsia="Times New Roman" w:hAnsi="Times New Roman" w:cs="Times New Roman"/>
          <w:sz w:val="24"/>
          <w:szCs w:val="24"/>
          <w:highlight w:val="white"/>
        </w:rPr>
      </w:pPr>
    </w:p>
    <w:p w14:paraId="389B9C40" w14:textId="668A664A" w:rsidR="00170769" w:rsidRDefault="00170769">
      <w:pPr>
        <w:jc w:val="both"/>
        <w:rPr>
          <w:rFonts w:ascii="Times New Roman" w:eastAsia="Times New Roman" w:hAnsi="Times New Roman" w:cs="Times New Roman"/>
          <w:sz w:val="24"/>
          <w:szCs w:val="24"/>
          <w:highlight w:val="white"/>
        </w:rPr>
      </w:pPr>
    </w:p>
    <w:p w14:paraId="66831007" w14:textId="77777777" w:rsidR="00E55D66" w:rsidRDefault="00E55D66">
      <w:pPr>
        <w:jc w:val="both"/>
        <w:rPr>
          <w:rFonts w:ascii="Times New Roman" w:eastAsia="Times New Roman" w:hAnsi="Times New Roman" w:cs="Times New Roman"/>
          <w:sz w:val="24"/>
          <w:szCs w:val="24"/>
          <w:highlight w:val="white"/>
        </w:rPr>
      </w:pPr>
    </w:p>
    <w:p w14:paraId="44C6234F" w14:textId="77777777" w:rsidR="00170769" w:rsidRDefault="00170769">
      <w:pPr>
        <w:jc w:val="both"/>
        <w:rPr>
          <w:rFonts w:ascii="Times New Roman" w:eastAsia="Times New Roman" w:hAnsi="Times New Roman" w:cs="Times New Roman"/>
          <w:sz w:val="24"/>
          <w:szCs w:val="24"/>
          <w:highlight w:val="white"/>
        </w:rPr>
      </w:pPr>
    </w:p>
    <w:p w14:paraId="0045624C" w14:textId="77777777" w:rsidR="00170769" w:rsidRDefault="00170769">
      <w:pPr>
        <w:jc w:val="both"/>
        <w:rPr>
          <w:rFonts w:ascii="Times New Roman" w:eastAsia="Times New Roman" w:hAnsi="Times New Roman" w:cs="Times New Roman"/>
          <w:sz w:val="24"/>
          <w:szCs w:val="24"/>
        </w:rPr>
      </w:pPr>
    </w:p>
    <w:p w14:paraId="00D8B3DD" w14:textId="77777777" w:rsidR="00170769" w:rsidRDefault="00BF341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78C5E2" w14:textId="77777777" w:rsidR="00170769" w:rsidRDefault="00BF3419">
      <w:pPr>
        <w:pStyle w:val="Heading1"/>
        <w:rPr>
          <w:rFonts w:ascii="Times New Roman" w:eastAsia="Times New Roman" w:hAnsi="Times New Roman" w:cs="Times New Roman"/>
          <w:b/>
          <w:sz w:val="24"/>
          <w:szCs w:val="24"/>
        </w:rPr>
      </w:pPr>
      <w:bookmarkStart w:id="2" w:name="_iderqr2lkesw" w:colFirst="0" w:colLast="0"/>
      <w:bookmarkEnd w:id="2"/>
      <w:r>
        <w:rPr>
          <w:rFonts w:ascii="Times New Roman" w:eastAsia="Times New Roman" w:hAnsi="Times New Roman" w:cs="Times New Roman"/>
          <w:b/>
          <w:sz w:val="24"/>
          <w:szCs w:val="24"/>
        </w:rPr>
        <w:lastRenderedPageBreak/>
        <w:t>Introduction</w:t>
      </w:r>
    </w:p>
    <w:p w14:paraId="07C7BC78" w14:textId="46BA76EB" w:rsidR="00B670DB" w:rsidRDefault="00B670DB" w:rsidP="00B670DB">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agency is becoming a central concept in educational policy and practice. It is widely conceived as a policy objective and as a condition for student success. OECD (2019, 2) uses the concept of student agency as a foundational concept to the OECD Learning Compass 2030 </w:t>
      </w:r>
      <w:r w:rsidR="005F24DC">
        <w:rPr>
          <w:rFonts w:ascii="Times New Roman" w:eastAsia="Times New Roman" w:hAnsi="Times New Roman" w:cs="Times New Roman"/>
          <w:sz w:val="24"/>
          <w:szCs w:val="24"/>
        </w:rPr>
        <w:t>‘</w:t>
      </w:r>
      <w:r>
        <w:rPr>
          <w:rFonts w:ascii="Times New Roman" w:eastAsia="Times New Roman" w:hAnsi="Times New Roman" w:cs="Times New Roman"/>
          <w:sz w:val="24"/>
          <w:szCs w:val="24"/>
        </w:rPr>
        <w:t>rooted in the principle that students have the ability and the will to positively influence their own lives and the world around them</w:t>
      </w:r>
      <w:r w:rsidR="005F24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defines student agency as </w:t>
      </w:r>
      <w:r w:rsidR="005F24DC">
        <w:rPr>
          <w:rFonts w:ascii="Times New Roman" w:eastAsia="Times New Roman" w:hAnsi="Times New Roman" w:cs="Times New Roman"/>
          <w:sz w:val="24"/>
          <w:szCs w:val="24"/>
        </w:rPr>
        <w:t>‘</w:t>
      </w:r>
      <w:r>
        <w:rPr>
          <w:rFonts w:ascii="Times New Roman" w:eastAsia="Times New Roman" w:hAnsi="Times New Roman" w:cs="Times New Roman"/>
          <w:sz w:val="24"/>
          <w:szCs w:val="24"/>
        </w:rPr>
        <w:t>the capacity to set a goal, reflect and act responsibly to effect change</w:t>
      </w:r>
      <w:r w:rsidR="005F24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European Strategy for Universities (European Commission 2022) sets important objectives linked to student agency. Furthermore, the student-centered learning and teaching advocated by the Commission as an overarching approach in designing higher education processes is </w:t>
      </w:r>
      <w:r w:rsidR="005F24DC">
        <w:rPr>
          <w:rFonts w:ascii="Times New Roman" w:eastAsia="Times New Roman" w:hAnsi="Times New Roman" w:cs="Times New Roman"/>
          <w:sz w:val="24"/>
          <w:szCs w:val="24"/>
        </w:rPr>
        <w:t>‘</w:t>
      </w:r>
      <w:r>
        <w:rPr>
          <w:rFonts w:ascii="Times New Roman" w:eastAsia="Times New Roman" w:hAnsi="Times New Roman" w:cs="Times New Roman"/>
          <w:sz w:val="24"/>
          <w:szCs w:val="24"/>
        </w:rPr>
        <w:t>founded on the concept of student agency</w:t>
      </w:r>
      <w:r w:rsidR="005F24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w:t>
      </w:r>
      <w:r w:rsidR="005F24DC">
        <w:rPr>
          <w:rFonts w:ascii="Times New Roman" w:eastAsia="Times New Roman" w:hAnsi="Times New Roman" w:cs="Times New Roman"/>
          <w:sz w:val="24"/>
          <w:szCs w:val="24"/>
        </w:rPr>
        <w:t>‘</w:t>
      </w:r>
      <w:r>
        <w:rPr>
          <w:rFonts w:ascii="Times New Roman" w:eastAsia="Times New Roman" w:hAnsi="Times New Roman" w:cs="Times New Roman"/>
          <w:sz w:val="24"/>
          <w:szCs w:val="24"/>
        </w:rPr>
        <w:t>the element that is exclusive to and inherent in the student-centered learning and teaching paradigm</w:t>
      </w:r>
      <w:r w:rsidR="005F24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(European Commission 2020, 8). Yet, despite the higher education policies embracing the concept of student agency, student agency is poorly understood, under-theorized and empirically under-researched (</w:t>
      </w:r>
      <w:proofErr w:type="spellStart"/>
      <w:r>
        <w:rPr>
          <w:rFonts w:ascii="Times New Roman" w:eastAsia="Times New Roman" w:hAnsi="Times New Roman" w:cs="Times New Roman"/>
          <w:sz w:val="24"/>
          <w:szCs w:val="24"/>
        </w:rPr>
        <w:t>Stenalt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Lassesen</w:t>
      </w:r>
      <w:proofErr w:type="spellEnd"/>
      <w:r>
        <w:rPr>
          <w:rFonts w:ascii="Times New Roman" w:eastAsia="Times New Roman" w:hAnsi="Times New Roman" w:cs="Times New Roman"/>
          <w:sz w:val="24"/>
          <w:szCs w:val="24"/>
        </w:rPr>
        <w:t xml:space="preserve"> 2021; Marín, de Benito &amp; </w:t>
      </w:r>
      <w:proofErr w:type="spellStart"/>
      <w:r>
        <w:rPr>
          <w:rFonts w:ascii="Times New Roman" w:eastAsia="Times New Roman" w:hAnsi="Times New Roman" w:cs="Times New Roman"/>
          <w:sz w:val="24"/>
          <w:szCs w:val="24"/>
        </w:rPr>
        <w:t>Darder</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Jääskelä</w:t>
      </w:r>
      <w:proofErr w:type="spellEnd"/>
      <w:r>
        <w:rPr>
          <w:rFonts w:ascii="Times New Roman" w:eastAsia="Times New Roman" w:hAnsi="Times New Roman" w:cs="Times New Roman"/>
          <w:sz w:val="24"/>
          <w:szCs w:val="24"/>
        </w:rPr>
        <w:t xml:space="preserve"> et al 2020a, b; </w:t>
      </w:r>
      <w:proofErr w:type="spellStart"/>
      <w:r>
        <w:rPr>
          <w:rFonts w:ascii="Times New Roman" w:eastAsia="Times New Roman" w:hAnsi="Times New Roman" w:cs="Times New Roman"/>
          <w:sz w:val="24"/>
          <w:szCs w:val="24"/>
        </w:rPr>
        <w:t>Jääskelä</w:t>
      </w:r>
      <w:proofErr w:type="spellEnd"/>
      <w:r>
        <w:rPr>
          <w:rFonts w:ascii="Times New Roman" w:eastAsia="Times New Roman" w:hAnsi="Times New Roman" w:cs="Times New Roman"/>
          <w:sz w:val="24"/>
          <w:szCs w:val="24"/>
        </w:rPr>
        <w:t xml:space="preserve"> et al 2016). In a recent first comprehensive review of literature on student agency, </w:t>
      </w:r>
      <w:proofErr w:type="spellStart"/>
      <w:r>
        <w:rPr>
          <w:rFonts w:ascii="Times New Roman" w:eastAsia="Times New Roman" w:hAnsi="Times New Roman" w:cs="Times New Roman"/>
          <w:sz w:val="24"/>
          <w:szCs w:val="24"/>
        </w:rPr>
        <w:t>Stenalt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Lassesen</w:t>
      </w:r>
      <w:proofErr w:type="spellEnd"/>
      <w:r>
        <w:rPr>
          <w:rFonts w:ascii="Times New Roman" w:eastAsia="Times New Roman" w:hAnsi="Times New Roman" w:cs="Times New Roman"/>
          <w:sz w:val="24"/>
          <w:szCs w:val="24"/>
        </w:rPr>
        <w:t xml:space="preserve"> (2021, 11) conclude that ‘more attention to the construct is needed’. </w:t>
      </w:r>
    </w:p>
    <w:p w14:paraId="399CF138" w14:textId="29DF4BDD" w:rsidR="00490A13" w:rsidRDefault="00B670DB" w:rsidP="00490A13">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chapter proposes  a theory of student agency in higher education as an overarching framework for structuring ideas about conditions of student experiences and student achievement in higher education. I</w:t>
      </w:r>
      <w:r w:rsidR="002A17AF">
        <w:rPr>
          <w:rFonts w:ascii="Times New Roman" w:eastAsia="Times New Roman" w:hAnsi="Times New Roman" w:cs="Times New Roman"/>
          <w:sz w:val="24"/>
          <w:szCs w:val="24"/>
          <w:highlight w:val="white"/>
        </w:rPr>
        <w:t xml:space="preserve">t is guided by three questions: (1) What is student agency and what are student outcomes of higher education? (2) What are the student agency dynamics across, time, space, and place in higher education (and in the context of transnational higher education cooperation)? (3) How does student agency affect student outcomes? The chapter </w:t>
      </w:r>
      <w:r>
        <w:rPr>
          <w:rFonts w:ascii="Times New Roman" w:eastAsia="Times New Roman" w:hAnsi="Times New Roman" w:cs="Times New Roman"/>
          <w:sz w:val="24"/>
          <w:szCs w:val="24"/>
          <w:highlight w:val="white"/>
        </w:rPr>
        <w:t xml:space="preserve">presents the STUDENTAGENCY model which accounts for time, space and place dynamics to explain the double “conversion” of agentic orientations in interplay with agentic possibilities into a set of  valuable capabilities for student experiences and outcomes. </w:t>
      </w:r>
      <w:r w:rsidR="00AF48E4">
        <w:rPr>
          <w:rFonts w:ascii="Times New Roman" w:eastAsia="Times New Roman" w:hAnsi="Times New Roman" w:cs="Times New Roman"/>
          <w:sz w:val="24"/>
          <w:szCs w:val="24"/>
        </w:rPr>
        <w:t xml:space="preserve">The theory of student agency shifts attention from institutional structures and processes, and student engagement with these, to students’ capabilities, such as  </w:t>
      </w:r>
      <w:r w:rsidR="00AF48E4">
        <w:rPr>
          <w:rFonts w:ascii="Times New Roman" w:eastAsia="Times New Roman" w:hAnsi="Times New Roman" w:cs="Times New Roman"/>
          <w:sz w:val="24"/>
          <w:szCs w:val="24"/>
          <w:highlight w:val="white"/>
        </w:rPr>
        <w:t xml:space="preserve">intentionality, forethought, self-regulation and reflexivity, self-awareness and self-efficacy guiding student interactions and engagements that build their experiences and result in outcomes. </w:t>
      </w:r>
      <w:r w:rsidR="00490A13">
        <w:rPr>
          <w:rFonts w:ascii="Times New Roman" w:eastAsia="Times New Roman" w:hAnsi="Times New Roman" w:cs="Times New Roman"/>
          <w:sz w:val="24"/>
          <w:szCs w:val="24"/>
          <w:highlight w:val="white"/>
        </w:rPr>
        <w:t xml:space="preserve">In other words, the theory of student agency seeks to explain the students’ self-formation in higher education; indeed, self-formation as a primary purpose of higher education, as argued by </w:t>
      </w:r>
      <w:proofErr w:type="spellStart"/>
      <w:r w:rsidR="00490A13">
        <w:rPr>
          <w:rFonts w:ascii="Times New Roman" w:eastAsia="Times New Roman" w:hAnsi="Times New Roman" w:cs="Times New Roman"/>
          <w:sz w:val="24"/>
          <w:szCs w:val="24"/>
          <w:highlight w:val="white"/>
        </w:rPr>
        <w:t>Marginson</w:t>
      </w:r>
      <w:proofErr w:type="spellEnd"/>
      <w:r w:rsidR="00490A13">
        <w:rPr>
          <w:rFonts w:ascii="Times New Roman" w:eastAsia="Times New Roman" w:hAnsi="Times New Roman" w:cs="Times New Roman"/>
          <w:sz w:val="24"/>
          <w:szCs w:val="24"/>
          <w:highlight w:val="white"/>
        </w:rPr>
        <w:t xml:space="preserve"> (2014, </w:t>
      </w:r>
      <w:r w:rsidR="00E55D66">
        <w:rPr>
          <w:rFonts w:ascii="Times New Roman" w:eastAsia="Times New Roman" w:hAnsi="Times New Roman" w:cs="Times New Roman"/>
          <w:sz w:val="24"/>
          <w:szCs w:val="24"/>
          <w:highlight w:val="white"/>
        </w:rPr>
        <w:t xml:space="preserve">2018, </w:t>
      </w:r>
      <w:r w:rsidR="00490A13">
        <w:rPr>
          <w:rFonts w:ascii="Times New Roman" w:eastAsia="Times New Roman" w:hAnsi="Times New Roman" w:cs="Times New Roman"/>
          <w:sz w:val="24"/>
          <w:szCs w:val="24"/>
          <w:highlight w:val="white"/>
        </w:rPr>
        <w:t xml:space="preserve">forthcoming). </w:t>
      </w:r>
      <w:r w:rsidR="00AF48E4">
        <w:rPr>
          <w:rFonts w:ascii="Times New Roman" w:eastAsia="Times New Roman" w:hAnsi="Times New Roman" w:cs="Times New Roman"/>
          <w:sz w:val="24"/>
          <w:szCs w:val="24"/>
        </w:rPr>
        <w:t>It expounds on the proposition that</w:t>
      </w:r>
      <w:r w:rsidR="00AF48E4" w:rsidRPr="00D332C0">
        <w:rPr>
          <w:rFonts w:ascii="Times New Roman" w:eastAsia="Times New Roman" w:hAnsi="Times New Roman" w:cs="Times New Roman"/>
          <w:iCs/>
          <w:sz w:val="24"/>
          <w:szCs w:val="24"/>
        </w:rPr>
        <w:t xml:space="preserve"> </w:t>
      </w:r>
      <w:r w:rsidR="00AF48E4">
        <w:rPr>
          <w:rFonts w:ascii="Times New Roman" w:eastAsia="Times New Roman" w:hAnsi="Times New Roman" w:cs="Times New Roman"/>
          <w:iCs/>
          <w:sz w:val="24"/>
          <w:szCs w:val="24"/>
        </w:rPr>
        <w:t xml:space="preserve">student agency </w:t>
      </w:r>
      <w:r w:rsidR="00AF48E4" w:rsidRPr="008E191C">
        <w:rPr>
          <w:rFonts w:ascii="Times New Roman" w:eastAsia="Times New Roman" w:hAnsi="Times New Roman" w:cs="Times New Roman"/>
          <w:iCs/>
          <w:sz w:val="24"/>
          <w:szCs w:val="24"/>
        </w:rPr>
        <w:t xml:space="preserve">is both a condition </w:t>
      </w:r>
      <w:r w:rsidR="00AF48E4">
        <w:rPr>
          <w:rFonts w:ascii="Times New Roman" w:eastAsia="Times New Roman" w:hAnsi="Times New Roman" w:cs="Times New Roman"/>
          <w:iCs/>
          <w:sz w:val="24"/>
          <w:szCs w:val="24"/>
        </w:rPr>
        <w:t>for</w:t>
      </w:r>
      <w:r w:rsidR="00AF48E4" w:rsidRPr="008E191C">
        <w:rPr>
          <w:rFonts w:ascii="Times New Roman" w:eastAsia="Times New Roman" w:hAnsi="Times New Roman" w:cs="Times New Roman"/>
          <w:iCs/>
          <w:sz w:val="24"/>
          <w:szCs w:val="24"/>
        </w:rPr>
        <w:t xml:space="preserve"> students’ self-formation and an outcome of it </w:t>
      </w:r>
      <w:r w:rsidR="00AF48E4">
        <w:rPr>
          <w:rFonts w:ascii="Times New Roman" w:eastAsia="Times New Roman" w:hAnsi="Times New Roman" w:cs="Times New Roman"/>
          <w:sz w:val="24"/>
          <w:szCs w:val="24"/>
        </w:rPr>
        <w:t xml:space="preserve">(Klemenčič 2015a). </w:t>
      </w:r>
    </w:p>
    <w:p w14:paraId="7D2A5F8F" w14:textId="5DA0DC05" w:rsidR="005F24DC" w:rsidRDefault="005F24DC" w:rsidP="00B670DB">
      <w:pPr>
        <w:jc w:val="both"/>
        <w:rPr>
          <w:rFonts w:ascii="Times New Roman" w:eastAsia="Times New Roman" w:hAnsi="Times New Roman" w:cs="Times New Roman"/>
          <w:sz w:val="24"/>
          <w:szCs w:val="24"/>
          <w:highlight w:val="white"/>
        </w:rPr>
      </w:pPr>
    </w:p>
    <w:p w14:paraId="06EBE8D3" w14:textId="7C883D80" w:rsidR="00B670DB" w:rsidRPr="005F24DC" w:rsidRDefault="005F24DC" w:rsidP="00B670DB">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That student engagement in educationally purposeful activities has effects on student experiences and outcomes in higher education </w:t>
      </w:r>
      <w:r>
        <w:rPr>
          <w:rFonts w:ascii="Times New Roman" w:eastAsia="Times New Roman" w:hAnsi="Times New Roman" w:cs="Times New Roman"/>
          <w:sz w:val="24"/>
          <w:szCs w:val="24"/>
          <w:highlight w:val="white"/>
        </w:rPr>
        <w:t xml:space="preserve">is well demonstrated in research. The entire field of inquiry on “college effects on students” is devoted to the question how higher education processes and structures impact student outcomes, such as student graduation rates or student employability. Yet, this scholarship tends to ignore that students also have agency which they enact towards their own learning and educational goals, their own “self-formation” or to bring about changes in their higher education environments or beyond. Such enactment of agency inevitably shapes students’ </w:t>
      </w:r>
      <w:r>
        <w:rPr>
          <w:rFonts w:ascii="Times New Roman" w:eastAsia="Times New Roman" w:hAnsi="Times New Roman" w:cs="Times New Roman"/>
          <w:sz w:val="24"/>
          <w:szCs w:val="24"/>
          <w:highlight w:val="white"/>
        </w:rPr>
        <w:lastRenderedPageBreak/>
        <w:t xml:space="preserve">experiences in higher education, their pathways through higher education and ultimately their higher education outcomes. </w:t>
      </w:r>
    </w:p>
    <w:p w14:paraId="1E12E13A" w14:textId="77777777" w:rsidR="00170769" w:rsidRDefault="00170769">
      <w:pPr>
        <w:jc w:val="both"/>
        <w:rPr>
          <w:rFonts w:ascii="Times New Roman" w:eastAsia="Times New Roman" w:hAnsi="Times New Roman" w:cs="Times New Roman"/>
          <w:sz w:val="24"/>
          <w:szCs w:val="24"/>
          <w:highlight w:val="white"/>
        </w:rPr>
      </w:pPr>
    </w:p>
    <w:p w14:paraId="673AB372" w14:textId="3ED1ABF1" w:rsidR="005F24DC" w:rsidRDefault="005F24DC" w:rsidP="005F24DC">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this chapter, s</w:t>
      </w:r>
      <w:r w:rsidR="00BF3419">
        <w:rPr>
          <w:rFonts w:ascii="Times New Roman" w:eastAsia="Times New Roman" w:hAnsi="Times New Roman" w:cs="Times New Roman"/>
          <w:sz w:val="24"/>
          <w:szCs w:val="24"/>
          <w:highlight w:val="white"/>
        </w:rPr>
        <w:t xml:space="preserve">tudent agency </w:t>
      </w:r>
      <w:r>
        <w:rPr>
          <w:rFonts w:ascii="Times New Roman" w:eastAsia="Times New Roman" w:hAnsi="Times New Roman" w:cs="Times New Roman"/>
          <w:sz w:val="24"/>
          <w:szCs w:val="24"/>
          <w:highlight w:val="white"/>
        </w:rPr>
        <w:t>is defined as</w:t>
      </w:r>
      <w:r w:rsidR="00BF3419">
        <w:rPr>
          <w:rFonts w:ascii="Times New Roman" w:eastAsia="Times New Roman" w:hAnsi="Times New Roman" w:cs="Times New Roman"/>
          <w:sz w:val="24"/>
          <w:szCs w:val="24"/>
          <w:highlight w:val="white"/>
        </w:rPr>
        <w:t xml:space="preserve"> students’ capabilities to navigate and influence their learning and education pathways and environments </w:t>
      </w:r>
      <w:r w:rsidR="00BF3419">
        <w:rPr>
          <w:rFonts w:ascii="Times New Roman" w:eastAsia="Times New Roman" w:hAnsi="Times New Roman" w:cs="Times New Roman"/>
          <w:sz w:val="24"/>
          <w:szCs w:val="24"/>
        </w:rPr>
        <w:t>(Klemenčič 2015a, b, 2017, 2018, 2020).</w:t>
      </w:r>
      <w:r w:rsidR="00BF3419">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Students inevitably have some degree of agency in a higher education context. Students have some degree of freedom to act, even if their autonomy is limited by rigid rules and regulations. The structures and processes within higher education institutions prompt students to take actions: to attend lectures, complete assignments, study for exams,  borrow books from the library, etc. That is even the case in most authoritarian higher education systems and paternalistic types of higher education institutions. </w:t>
      </w:r>
      <w:r w:rsidR="002A17AF">
        <w:rPr>
          <w:rFonts w:ascii="Times New Roman" w:eastAsia="Times New Roman" w:hAnsi="Times New Roman" w:cs="Times New Roman"/>
          <w:sz w:val="24"/>
          <w:szCs w:val="24"/>
          <w:highlight w:val="white"/>
        </w:rPr>
        <w:t xml:space="preserve">Students also have some agentic orientation, some will to act: they have goals </w:t>
      </w:r>
      <w:r w:rsidR="00CB4816">
        <w:rPr>
          <w:rFonts w:ascii="Times New Roman" w:eastAsia="Times New Roman" w:hAnsi="Times New Roman" w:cs="Times New Roman"/>
          <w:sz w:val="24"/>
          <w:szCs w:val="24"/>
          <w:highlight w:val="white"/>
        </w:rPr>
        <w:t>or</w:t>
      </w:r>
      <w:r w:rsidR="002A17AF">
        <w:rPr>
          <w:rFonts w:ascii="Times New Roman" w:eastAsia="Times New Roman" w:hAnsi="Times New Roman" w:cs="Times New Roman"/>
          <w:sz w:val="24"/>
          <w:szCs w:val="24"/>
          <w:highlight w:val="white"/>
        </w:rPr>
        <w:t xml:space="preserve"> </w:t>
      </w:r>
      <w:r w:rsidR="00CB4816">
        <w:rPr>
          <w:rFonts w:ascii="Times New Roman" w:eastAsia="Times New Roman" w:hAnsi="Times New Roman" w:cs="Times New Roman"/>
          <w:sz w:val="24"/>
          <w:szCs w:val="24"/>
          <w:highlight w:val="white"/>
        </w:rPr>
        <w:t>wishes for the future</w:t>
      </w:r>
      <w:r w:rsidR="002A17AF">
        <w:rPr>
          <w:rFonts w:ascii="Times New Roman" w:eastAsia="Times New Roman" w:hAnsi="Times New Roman" w:cs="Times New Roman"/>
          <w:sz w:val="24"/>
          <w:szCs w:val="24"/>
          <w:highlight w:val="white"/>
        </w:rPr>
        <w:t xml:space="preserve">, they are drawn to some subjects more than others, they choose extracurricular activities or look for student jobs. </w:t>
      </w:r>
      <w:r>
        <w:rPr>
          <w:rFonts w:ascii="Times New Roman" w:eastAsia="Times New Roman" w:hAnsi="Times New Roman" w:cs="Times New Roman"/>
          <w:sz w:val="24"/>
          <w:szCs w:val="24"/>
          <w:highlight w:val="white"/>
        </w:rPr>
        <w:t xml:space="preserve">However, the </w:t>
      </w:r>
      <w:r w:rsidR="002A17AF">
        <w:rPr>
          <w:rFonts w:ascii="Times New Roman" w:eastAsia="Times New Roman" w:hAnsi="Times New Roman" w:cs="Times New Roman"/>
          <w:sz w:val="24"/>
          <w:szCs w:val="24"/>
          <w:highlight w:val="white"/>
        </w:rPr>
        <w:t xml:space="preserve">nature and </w:t>
      </w:r>
      <w:r w:rsidR="00CB4816">
        <w:rPr>
          <w:rFonts w:ascii="Times New Roman" w:eastAsia="Times New Roman" w:hAnsi="Times New Roman" w:cs="Times New Roman"/>
          <w:sz w:val="24"/>
          <w:szCs w:val="24"/>
          <w:highlight w:val="white"/>
        </w:rPr>
        <w:t>degree of development</w:t>
      </w:r>
      <w:r>
        <w:rPr>
          <w:rFonts w:ascii="Times New Roman" w:eastAsia="Times New Roman" w:hAnsi="Times New Roman" w:cs="Times New Roman"/>
          <w:sz w:val="24"/>
          <w:szCs w:val="24"/>
          <w:highlight w:val="white"/>
        </w:rPr>
        <w:t xml:space="preserve"> of capabilities for intentional action in pursuit of personal or societal goals varies</w:t>
      </w:r>
      <w:r w:rsidR="00CB4816">
        <w:rPr>
          <w:rFonts w:ascii="Times New Roman" w:eastAsia="Times New Roman" w:hAnsi="Times New Roman" w:cs="Times New Roman"/>
          <w:sz w:val="24"/>
          <w:szCs w:val="24"/>
          <w:highlight w:val="white"/>
        </w:rPr>
        <w:t>. These capabilities are</w:t>
      </w:r>
      <w:r>
        <w:rPr>
          <w:rFonts w:ascii="Times New Roman" w:eastAsia="Times New Roman" w:hAnsi="Times New Roman" w:cs="Times New Roman"/>
          <w:sz w:val="24"/>
          <w:szCs w:val="24"/>
          <w:highlight w:val="white"/>
        </w:rPr>
        <w:t xml:space="preserve"> conditioned by agentic opportunities that emerge from the external environment and agentic orientations that are internal </w:t>
      </w:r>
      <w:r w:rsidR="00CB4816">
        <w:rPr>
          <w:rFonts w:ascii="Times New Roman" w:eastAsia="Times New Roman" w:hAnsi="Times New Roman" w:cs="Times New Roman"/>
          <w:sz w:val="24"/>
          <w:szCs w:val="24"/>
          <w:highlight w:val="white"/>
        </w:rPr>
        <w:t>responses of the student to the higher education environment</w:t>
      </w:r>
      <w:r>
        <w:rPr>
          <w:rFonts w:ascii="Times New Roman" w:eastAsia="Times New Roman" w:hAnsi="Times New Roman" w:cs="Times New Roman"/>
          <w:sz w:val="24"/>
          <w:szCs w:val="24"/>
          <w:highlight w:val="white"/>
        </w:rPr>
        <w:t xml:space="preserve">. </w:t>
      </w:r>
    </w:p>
    <w:p w14:paraId="0B679E06" w14:textId="5203157F" w:rsidR="005F24DC" w:rsidRDefault="005F24DC">
      <w:pPr>
        <w:jc w:val="both"/>
        <w:rPr>
          <w:rFonts w:ascii="Times New Roman" w:eastAsia="Times New Roman" w:hAnsi="Times New Roman" w:cs="Times New Roman"/>
          <w:sz w:val="24"/>
          <w:szCs w:val="24"/>
          <w:highlight w:val="white"/>
        </w:rPr>
      </w:pPr>
    </w:p>
    <w:p w14:paraId="638EEC66" w14:textId="136B5617" w:rsidR="00490A13" w:rsidRDefault="00490A13" w:rsidP="00490A13">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Students also enact agency - individually, collectively or through proxies - towards changes in higher educational environments (i.e., institutional changes) or towards changes in society (i.e., social changes). In the case of instigating institutional changes, students’ objective is to transform situational constraints and opportunities for agency achievement. They are enacting agency to create new opportunities or overcome barriers or to strengthen their own capabilities that will enable them to achieve the desired self-formation goals. In the case of social changes, students goals are in agency achievement for general (societal) wellbeing (cf. Sen 1984) as a precondition for agency achievement in other areas of functioning, such as </w:t>
      </w:r>
      <w:r w:rsidR="00CB4816">
        <w:rPr>
          <w:rFonts w:ascii="Times New Roman" w:eastAsia="Times New Roman" w:hAnsi="Times New Roman" w:cs="Times New Roman"/>
          <w:sz w:val="24"/>
          <w:szCs w:val="24"/>
          <w:highlight w:val="white"/>
        </w:rPr>
        <w:t xml:space="preserve">for self-formation </w:t>
      </w:r>
      <w:r>
        <w:rPr>
          <w:rFonts w:ascii="Times New Roman" w:eastAsia="Times New Roman" w:hAnsi="Times New Roman" w:cs="Times New Roman"/>
          <w:sz w:val="24"/>
          <w:szCs w:val="24"/>
          <w:highlight w:val="white"/>
        </w:rPr>
        <w:t>in higher education. Parallel to and based on the theory of student agency, I have developed a theory of student impact on higher education which seeks to explain the overarching mechanisms of students’ effects on higher education</w:t>
      </w:r>
      <w:r w:rsidR="00CB4816">
        <w:rPr>
          <w:rFonts w:ascii="Times New Roman" w:eastAsia="Times New Roman" w:hAnsi="Times New Roman" w:cs="Times New Roman"/>
          <w:sz w:val="24"/>
          <w:szCs w:val="24"/>
          <w:highlight w:val="white"/>
        </w:rPr>
        <w:t xml:space="preserve"> while</w:t>
      </w:r>
      <w:r>
        <w:rPr>
          <w:rFonts w:ascii="Times New Roman" w:eastAsia="Times New Roman" w:hAnsi="Times New Roman" w:cs="Times New Roman"/>
          <w:sz w:val="24"/>
          <w:szCs w:val="24"/>
          <w:highlight w:val="white"/>
        </w:rPr>
        <w:t xml:space="preserve"> recognizing that such enactments of agency can also result in students’ self-formation, possibly even at an accelerated rate (Klemenčič forthcoming).  </w:t>
      </w:r>
    </w:p>
    <w:p w14:paraId="4C1AE731" w14:textId="77777777" w:rsidR="005F24DC" w:rsidRDefault="005F24DC">
      <w:pPr>
        <w:jc w:val="both"/>
        <w:rPr>
          <w:rFonts w:ascii="Times New Roman" w:eastAsia="Times New Roman" w:hAnsi="Times New Roman" w:cs="Times New Roman"/>
          <w:sz w:val="24"/>
          <w:szCs w:val="24"/>
          <w:highlight w:val="white"/>
        </w:rPr>
      </w:pPr>
    </w:p>
    <w:p w14:paraId="1FB00B0D" w14:textId="341283F1" w:rsidR="00490A13" w:rsidRPr="00490A13" w:rsidRDefault="00490A13" w:rsidP="00490A1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highlight w:val="white"/>
        </w:rPr>
        <w:t xml:space="preserve">The chapter first reviews literature relevant to our understanding of student agency in higher education. </w:t>
      </w:r>
      <w:r w:rsidRPr="00490A13">
        <w:rPr>
          <w:rFonts w:ascii="Times New Roman" w:eastAsia="Times New Roman" w:hAnsi="Times New Roman" w:cs="Times New Roman"/>
          <w:color w:val="000000" w:themeColor="text1"/>
          <w:sz w:val="24"/>
          <w:szCs w:val="24"/>
        </w:rPr>
        <w:t xml:space="preserve">This section is in conversation with the scholarly literature on college impact on students, on  “valuable capabilities” for student self-formation and on student agency in higher education. The main section is devoted to the presentation of the theory of student agency. </w:t>
      </w:r>
      <w:r w:rsidR="00CB4816">
        <w:rPr>
          <w:rFonts w:ascii="Times New Roman" w:eastAsia="Times New Roman" w:hAnsi="Times New Roman" w:cs="Times New Roman"/>
          <w:color w:val="000000" w:themeColor="text1"/>
          <w:sz w:val="24"/>
          <w:szCs w:val="24"/>
        </w:rPr>
        <w:t>The conclusions discusses the broader implications of the theory of student agency for our understanding of the purposes of higher education.</w:t>
      </w:r>
    </w:p>
    <w:p w14:paraId="3FA4A3B3" w14:textId="77777777" w:rsidR="00490A13" w:rsidRDefault="00490A13" w:rsidP="00490A13">
      <w:pPr>
        <w:jc w:val="both"/>
        <w:rPr>
          <w:rFonts w:ascii="Times New Roman" w:eastAsia="Times New Roman" w:hAnsi="Times New Roman" w:cs="Times New Roman"/>
          <w:sz w:val="24"/>
          <w:szCs w:val="24"/>
          <w:highlight w:val="white"/>
        </w:rPr>
      </w:pPr>
    </w:p>
    <w:p w14:paraId="5012E3BD" w14:textId="2A28E9CA" w:rsidR="00170769" w:rsidRDefault="00170769">
      <w:pPr>
        <w:jc w:val="both"/>
        <w:rPr>
          <w:rFonts w:ascii="Times New Roman" w:eastAsia="Times New Roman" w:hAnsi="Times New Roman" w:cs="Times New Roman"/>
          <w:sz w:val="24"/>
          <w:szCs w:val="24"/>
          <w:highlight w:val="white"/>
        </w:rPr>
      </w:pPr>
    </w:p>
    <w:p w14:paraId="71D6DF84" w14:textId="77777777" w:rsidR="00170769" w:rsidRDefault="00170769">
      <w:pPr>
        <w:spacing w:after="100"/>
        <w:jc w:val="both"/>
        <w:rPr>
          <w:rFonts w:ascii="Times New Roman" w:eastAsia="Times New Roman" w:hAnsi="Times New Roman" w:cs="Times New Roman"/>
          <w:sz w:val="24"/>
          <w:szCs w:val="24"/>
        </w:rPr>
      </w:pPr>
      <w:bookmarkStart w:id="3" w:name="_clv9biwhane7" w:colFirst="0" w:colLast="0"/>
      <w:bookmarkEnd w:id="3"/>
    </w:p>
    <w:p w14:paraId="5B49D1BF" w14:textId="77777777" w:rsidR="00170769" w:rsidRDefault="00BF3419">
      <w:pPr>
        <w:pStyle w:val="Heading1"/>
        <w:jc w:val="both"/>
      </w:pPr>
      <w:bookmarkStart w:id="4" w:name="_3h7n45t42yq3" w:colFirst="0" w:colLast="0"/>
      <w:bookmarkEnd w:id="4"/>
      <w:r>
        <w:lastRenderedPageBreak/>
        <w:t>Review of literature</w:t>
      </w:r>
    </w:p>
    <w:p w14:paraId="3A0083E6" w14:textId="63FE273E"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Why do some students have positive experiences of higher education and others not? Why do some students succeed and others drop out from higher education? </w:t>
      </w:r>
      <w:r w:rsidR="00CB1802">
        <w:rPr>
          <w:rFonts w:ascii="Times New Roman" w:eastAsia="Times New Roman" w:hAnsi="Times New Roman" w:cs="Times New Roman"/>
          <w:sz w:val="24"/>
          <w:szCs w:val="24"/>
        </w:rPr>
        <w:t xml:space="preserve">Literature </w:t>
      </w:r>
      <w:r w:rsidR="00CB1802" w:rsidRPr="00490A13">
        <w:rPr>
          <w:rFonts w:ascii="Times New Roman" w:eastAsia="Times New Roman" w:hAnsi="Times New Roman" w:cs="Times New Roman"/>
          <w:color w:val="000000" w:themeColor="text1"/>
          <w:sz w:val="24"/>
          <w:szCs w:val="24"/>
        </w:rPr>
        <w:t xml:space="preserve">on college impact on students, on  “valuable capabilities” for student self-formation and </w:t>
      </w:r>
      <w:r w:rsidR="00CB1802">
        <w:rPr>
          <w:rFonts w:ascii="Times New Roman" w:eastAsia="Times New Roman" w:hAnsi="Times New Roman" w:cs="Times New Roman"/>
          <w:color w:val="000000" w:themeColor="text1"/>
          <w:sz w:val="24"/>
          <w:szCs w:val="24"/>
        </w:rPr>
        <w:t xml:space="preserve">explicitly </w:t>
      </w:r>
      <w:r w:rsidR="00CB1802" w:rsidRPr="00490A13">
        <w:rPr>
          <w:rFonts w:ascii="Times New Roman" w:eastAsia="Times New Roman" w:hAnsi="Times New Roman" w:cs="Times New Roman"/>
          <w:color w:val="000000" w:themeColor="text1"/>
          <w:sz w:val="24"/>
          <w:szCs w:val="24"/>
        </w:rPr>
        <w:t xml:space="preserve">on student </w:t>
      </w:r>
      <w:r w:rsidR="00CB1802">
        <w:rPr>
          <w:rFonts w:ascii="Times New Roman" w:eastAsia="Times New Roman" w:hAnsi="Times New Roman" w:cs="Times New Roman"/>
          <w:color w:val="000000" w:themeColor="text1"/>
          <w:sz w:val="24"/>
          <w:szCs w:val="24"/>
        </w:rPr>
        <w:t xml:space="preserve">agency </w:t>
      </w:r>
      <w:r>
        <w:rPr>
          <w:rFonts w:ascii="Times New Roman" w:eastAsia="Times New Roman" w:hAnsi="Times New Roman" w:cs="Times New Roman"/>
          <w:sz w:val="24"/>
          <w:szCs w:val="24"/>
          <w:highlight w:val="white"/>
        </w:rPr>
        <w:t>have explored the factors shaping student experiences and student outcomes in higher education.</w:t>
      </w:r>
    </w:p>
    <w:p w14:paraId="40D0DD88" w14:textId="77777777" w:rsidR="00170769" w:rsidRDefault="00170769">
      <w:pPr>
        <w:jc w:val="both"/>
        <w:rPr>
          <w:rFonts w:ascii="Times New Roman" w:eastAsia="Times New Roman" w:hAnsi="Times New Roman" w:cs="Times New Roman"/>
          <w:sz w:val="24"/>
          <w:szCs w:val="24"/>
          <w:highlight w:val="white"/>
        </w:rPr>
      </w:pPr>
    </w:p>
    <w:p w14:paraId="125CC6DD" w14:textId="6A2DF545" w:rsidR="00CB1802" w:rsidRPr="00CB1802" w:rsidRDefault="00CB1802" w:rsidP="00CB1802">
      <w:pPr>
        <w:pStyle w:val="Heading2"/>
        <w:jc w:val="both"/>
      </w:pPr>
      <w:bookmarkStart w:id="5" w:name="_soapaelawnej" w:colFirst="0" w:colLast="0"/>
      <w:bookmarkEnd w:id="5"/>
      <w:r>
        <w:t xml:space="preserve">Literature on the “college effects on students” </w:t>
      </w:r>
    </w:p>
    <w:p w14:paraId="5BE69B07" w14:textId="731A701E"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Much of research in sociology of higher education has focused on students’ college outcomes as a function of the characteristics of institutions and of their educational programs. Next to study of inequality this is the largest field of inquiry in sociology of higher education. This </w:t>
      </w:r>
      <w:r w:rsidR="00B80F88">
        <w:rPr>
          <w:rFonts w:ascii="Times New Roman" w:eastAsia="Times New Roman" w:hAnsi="Times New Roman" w:cs="Times New Roman"/>
          <w:sz w:val="24"/>
          <w:szCs w:val="24"/>
          <w:highlight w:val="white"/>
        </w:rPr>
        <w:t>field</w:t>
      </w:r>
      <w:r>
        <w:rPr>
          <w:rFonts w:ascii="Times New Roman" w:eastAsia="Times New Roman" w:hAnsi="Times New Roman" w:cs="Times New Roman"/>
          <w:sz w:val="24"/>
          <w:szCs w:val="24"/>
          <w:highlight w:val="white"/>
        </w:rPr>
        <w:t xml:space="preserve"> is concerned with identifying causal linkages between various aspects of the college environment, student experiences and student outcomes (Pascarella &amp; </w:t>
      </w:r>
      <w:proofErr w:type="spellStart"/>
      <w:r>
        <w:rPr>
          <w:rFonts w:ascii="Times New Roman" w:eastAsia="Times New Roman" w:hAnsi="Times New Roman" w:cs="Times New Roman"/>
          <w:sz w:val="24"/>
          <w:szCs w:val="24"/>
          <w:highlight w:val="white"/>
        </w:rPr>
        <w:t>Terenzini</w:t>
      </w:r>
      <w:proofErr w:type="spellEnd"/>
      <w:r>
        <w:rPr>
          <w:rFonts w:ascii="Times New Roman" w:eastAsia="Times New Roman" w:hAnsi="Times New Roman" w:cs="Times New Roman"/>
          <w:sz w:val="24"/>
          <w:szCs w:val="24"/>
          <w:highlight w:val="white"/>
        </w:rPr>
        <w:t xml:space="preserve">, 1991, 2005; </w:t>
      </w:r>
      <w:proofErr w:type="spellStart"/>
      <w:r>
        <w:rPr>
          <w:rFonts w:ascii="Times New Roman" w:eastAsia="Times New Roman" w:hAnsi="Times New Roman" w:cs="Times New Roman"/>
          <w:sz w:val="24"/>
          <w:szCs w:val="24"/>
          <w:highlight w:val="white"/>
        </w:rPr>
        <w:t>Kuh</w:t>
      </w:r>
      <w:proofErr w:type="spellEnd"/>
      <w:r>
        <w:rPr>
          <w:rFonts w:ascii="Times New Roman" w:eastAsia="Times New Roman" w:hAnsi="Times New Roman" w:cs="Times New Roman"/>
          <w:sz w:val="24"/>
          <w:szCs w:val="24"/>
          <w:highlight w:val="white"/>
        </w:rPr>
        <w:t xml:space="preserve"> 2009; Mayhew et al 2016). Several notable theories emerged in this body of literature.</w:t>
      </w:r>
    </w:p>
    <w:p w14:paraId="38D6402C" w14:textId="77777777" w:rsidR="00170769" w:rsidRDefault="00170769">
      <w:pPr>
        <w:jc w:val="both"/>
        <w:rPr>
          <w:rFonts w:ascii="Times New Roman" w:eastAsia="Times New Roman" w:hAnsi="Times New Roman" w:cs="Times New Roman"/>
          <w:sz w:val="24"/>
          <w:szCs w:val="24"/>
          <w:highlight w:val="white"/>
        </w:rPr>
      </w:pPr>
    </w:p>
    <w:p w14:paraId="39D2D11D" w14:textId="55E11A7E" w:rsidR="00170769" w:rsidRPr="00403571" w:rsidRDefault="00BF3419" w:rsidP="00403571">
      <w:pPr>
        <w:autoSpaceDE w:val="0"/>
        <w:autoSpaceDN w:val="0"/>
        <w:adjustRightInd w:val="0"/>
        <w:jc w:val="both"/>
        <w:rPr>
          <w:rFonts w:ascii="Times New Roman" w:hAnsi="Times New Roman" w:cs="Times New Roman"/>
          <w:sz w:val="24"/>
          <w:szCs w:val="24"/>
          <w:lang w:val="en-GB"/>
        </w:rPr>
      </w:pPr>
      <w:r w:rsidRPr="00B80F88">
        <w:rPr>
          <w:rFonts w:ascii="Times New Roman" w:eastAsia="Times New Roman" w:hAnsi="Times New Roman" w:cs="Times New Roman"/>
          <w:sz w:val="24"/>
          <w:szCs w:val="24"/>
          <w:highlight w:val="white"/>
        </w:rPr>
        <w:t xml:space="preserve">The Model of the </w:t>
      </w:r>
      <w:r w:rsidR="00200689" w:rsidRPr="00B80F88">
        <w:rPr>
          <w:rFonts w:ascii="Times New Roman" w:eastAsia="Times New Roman" w:hAnsi="Times New Roman" w:cs="Times New Roman"/>
          <w:sz w:val="24"/>
          <w:szCs w:val="24"/>
          <w:highlight w:val="white"/>
        </w:rPr>
        <w:t>Dropout</w:t>
      </w:r>
      <w:r w:rsidRPr="00B80F88">
        <w:rPr>
          <w:rFonts w:ascii="Times New Roman" w:eastAsia="Times New Roman" w:hAnsi="Times New Roman" w:cs="Times New Roman"/>
          <w:sz w:val="24"/>
          <w:szCs w:val="24"/>
          <w:highlight w:val="white"/>
        </w:rPr>
        <w:t xml:space="preserve"> Process developed by </w:t>
      </w:r>
      <w:proofErr w:type="spellStart"/>
      <w:r w:rsidRPr="00B80F88">
        <w:rPr>
          <w:rFonts w:ascii="Times New Roman" w:eastAsia="Times New Roman" w:hAnsi="Times New Roman" w:cs="Times New Roman"/>
          <w:sz w:val="24"/>
          <w:szCs w:val="24"/>
          <w:highlight w:val="white"/>
        </w:rPr>
        <w:t>Spady</w:t>
      </w:r>
      <w:proofErr w:type="spellEnd"/>
      <w:r w:rsidRPr="00B80F88">
        <w:rPr>
          <w:rFonts w:ascii="Times New Roman" w:eastAsia="Times New Roman" w:hAnsi="Times New Roman" w:cs="Times New Roman"/>
          <w:sz w:val="24"/>
          <w:szCs w:val="24"/>
          <w:highlight w:val="white"/>
        </w:rPr>
        <w:t xml:space="preserve"> (1971) </w:t>
      </w:r>
      <w:r w:rsidR="00C83C31" w:rsidRPr="00B80F88">
        <w:rPr>
          <w:rFonts w:ascii="Times New Roman" w:eastAsia="Times New Roman" w:hAnsi="Times New Roman" w:cs="Times New Roman"/>
          <w:sz w:val="24"/>
          <w:szCs w:val="24"/>
          <w:highlight w:val="white"/>
        </w:rPr>
        <w:t xml:space="preserve">considers </w:t>
      </w:r>
      <w:r w:rsidRPr="00B80F88">
        <w:rPr>
          <w:rFonts w:ascii="Times New Roman" w:eastAsia="Times New Roman" w:hAnsi="Times New Roman" w:cs="Times New Roman"/>
          <w:sz w:val="24"/>
          <w:szCs w:val="24"/>
          <w:highlight w:val="white"/>
        </w:rPr>
        <w:t>sociological aspects of students’ academic and social integration</w:t>
      </w:r>
      <w:r w:rsidR="00200689" w:rsidRPr="00B80F88">
        <w:rPr>
          <w:rFonts w:ascii="Times New Roman" w:eastAsia="Times New Roman" w:hAnsi="Times New Roman" w:cs="Times New Roman"/>
          <w:sz w:val="24"/>
          <w:szCs w:val="24"/>
          <w:highlight w:val="white"/>
        </w:rPr>
        <w:t xml:space="preserve"> – “normative congruence”</w:t>
      </w:r>
      <w:r w:rsidRPr="00B80F88">
        <w:rPr>
          <w:rFonts w:ascii="Times New Roman" w:eastAsia="Times New Roman" w:hAnsi="Times New Roman" w:cs="Times New Roman"/>
          <w:sz w:val="24"/>
          <w:szCs w:val="24"/>
          <w:highlight w:val="white"/>
        </w:rPr>
        <w:t xml:space="preserve"> </w:t>
      </w:r>
      <w:r w:rsidR="00B80F88" w:rsidRPr="00B80F88">
        <w:rPr>
          <w:rFonts w:ascii="Times New Roman" w:eastAsia="Times New Roman" w:hAnsi="Times New Roman" w:cs="Times New Roman"/>
          <w:sz w:val="24"/>
          <w:szCs w:val="24"/>
          <w:highlight w:val="white"/>
        </w:rPr>
        <w:t xml:space="preserve">- </w:t>
      </w:r>
      <w:r w:rsidRPr="00B80F88">
        <w:rPr>
          <w:rFonts w:ascii="Times New Roman" w:eastAsia="Times New Roman" w:hAnsi="Times New Roman" w:cs="Times New Roman"/>
          <w:sz w:val="24"/>
          <w:szCs w:val="24"/>
          <w:highlight w:val="white"/>
        </w:rPr>
        <w:t xml:space="preserve">as explanatory factors in the dropout process. </w:t>
      </w:r>
      <w:proofErr w:type="spellStart"/>
      <w:r w:rsidRPr="00B80F88">
        <w:rPr>
          <w:rFonts w:ascii="Times New Roman" w:eastAsia="Times New Roman" w:hAnsi="Times New Roman" w:cs="Times New Roman"/>
          <w:sz w:val="24"/>
          <w:szCs w:val="24"/>
          <w:highlight w:val="white"/>
        </w:rPr>
        <w:t>Spady</w:t>
      </w:r>
      <w:proofErr w:type="spellEnd"/>
      <w:r w:rsidRPr="00B80F88">
        <w:rPr>
          <w:rFonts w:ascii="Times New Roman" w:eastAsia="Times New Roman" w:hAnsi="Times New Roman" w:cs="Times New Roman"/>
          <w:sz w:val="24"/>
          <w:szCs w:val="24"/>
          <w:highlight w:val="white"/>
        </w:rPr>
        <w:t xml:space="preserve"> (1971, 39) suggests that </w:t>
      </w:r>
      <w:r w:rsidR="00C83C31" w:rsidRPr="00B80F88">
        <w:rPr>
          <w:rFonts w:ascii="Times New Roman" w:eastAsia="Times New Roman" w:hAnsi="Times New Roman" w:cs="Times New Roman"/>
          <w:sz w:val="24"/>
          <w:szCs w:val="24"/>
          <w:highlight w:val="white"/>
        </w:rPr>
        <w:t>‘</w:t>
      </w:r>
      <w:r w:rsidRPr="00B80F88">
        <w:rPr>
          <w:rFonts w:ascii="Times New Roman" w:eastAsia="Times New Roman" w:hAnsi="Times New Roman" w:cs="Times New Roman"/>
          <w:sz w:val="24"/>
          <w:szCs w:val="24"/>
          <w:highlight w:val="white"/>
        </w:rPr>
        <w:t>the concept of normative congruence refers to the general degree of compatibility between the dispositions, interests, attitudes, and expectations of the student and the set of behaviors, expectations, and demands to which he may be exposed as the result of interaction with a variety of individuals in the college environment</w:t>
      </w:r>
      <w:r w:rsidR="00C83C31" w:rsidRPr="00B80F88">
        <w:rPr>
          <w:rFonts w:ascii="Times New Roman" w:eastAsia="Times New Roman" w:hAnsi="Times New Roman" w:cs="Times New Roman"/>
          <w:sz w:val="24"/>
          <w:szCs w:val="24"/>
          <w:highlight w:val="white"/>
        </w:rPr>
        <w:t>’</w:t>
      </w:r>
      <w:r w:rsidRPr="00B80F88">
        <w:rPr>
          <w:rFonts w:ascii="Times New Roman" w:eastAsia="Times New Roman" w:hAnsi="Times New Roman" w:cs="Times New Roman"/>
          <w:sz w:val="24"/>
          <w:szCs w:val="24"/>
          <w:highlight w:val="white"/>
        </w:rPr>
        <w:t>.</w:t>
      </w:r>
      <w:r w:rsidR="00200689" w:rsidRPr="00B80F88">
        <w:rPr>
          <w:rFonts w:ascii="Times New Roman" w:eastAsia="Times New Roman" w:hAnsi="Times New Roman" w:cs="Times New Roman"/>
          <w:sz w:val="24"/>
          <w:szCs w:val="24"/>
          <w:highlight w:val="white"/>
        </w:rPr>
        <w:t xml:space="preserve"> </w:t>
      </w:r>
      <w:r w:rsidRPr="00B80F88">
        <w:rPr>
          <w:rFonts w:ascii="Times New Roman" w:eastAsia="Times New Roman" w:hAnsi="Times New Roman" w:cs="Times New Roman"/>
          <w:sz w:val="24"/>
          <w:szCs w:val="24"/>
          <w:highlight w:val="white"/>
        </w:rPr>
        <w:t xml:space="preserve">Tinto’s retention model (1975) also posits that interactions alone in social and academic communities do not guarantee persistence of students; some degree of social and academic integration of students into their college environments must exist. This model highlights the students’ personal “input factors”: </w:t>
      </w:r>
      <w:r w:rsidR="00AF2CD7" w:rsidRPr="00B80F88">
        <w:rPr>
          <w:rFonts w:ascii="Times New Roman" w:eastAsia="Times New Roman" w:hAnsi="Times New Roman" w:cs="Times New Roman"/>
          <w:sz w:val="24"/>
          <w:szCs w:val="24"/>
          <w:highlight w:val="white"/>
        </w:rPr>
        <w:t>family background</w:t>
      </w:r>
      <w:r w:rsidRPr="00B80F88">
        <w:rPr>
          <w:rFonts w:ascii="Times New Roman" w:eastAsia="Times New Roman" w:hAnsi="Times New Roman" w:cs="Times New Roman"/>
          <w:sz w:val="24"/>
          <w:szCs w:val="24"/>
          <w:highlight w:val="white"/>
        </w:rPr>
        <w:t xml:space="preserve">, </w:t>
      </w:r>
      <w:r w:rsidR="00AF2CD7" w:rsidRPr="00B80F88">
        <w:rPr>
          <w:rFonts w:ascii="Times New Roman" w:eastAsia="Times New Roman" w:hAnsi="Times New Roman" w:cs="Times New Roman"/>
          <w:sz w:val="24"/>
          <w:szCs w:val="24"/>
          <w:highlight w:val="white"/>
        </w:rPr>
        <w:t>pre</w:t>
      </w:r>
      <w:r w:rsidRPr="00B80F88">
        <w:rPr>
          <w:rFonts w:ascii="Times New Roman" w:eastAsia="Times New Roman" w:hAnsi="Times New Roman" w:cs="Times New Roman"/>
          <w:sz w:val="24"/>
          <w:szCs w:val="24"/>
          <w:highlight w:val="white"/>
        </w:rPr>
        <w:t>-</w:t>
      </w:r>
      <w:r w:rsidR="00AF2CD7" w:rsidRPr="00B80F88">
        <w:rPr>
          <w:rFonts w:ascii="Times New Roman" w:eastAsia="Times New Roman" w:hAnsi="Times New Roman" w:cs="Times New Roman"/>
          <w:sz w:val="24"/>
          <w:szCs w:val="24"/>
          <w:highlight w:val="white"/>
        </w:rPr>
        <w:t>c</w:t>
      </w:r>
      <w:r w:rsidRPr="00B80F88">
        <w:rPr>
          <w:rFonts w:ascii="Times New Roman" w:eastAsia="Times New Roman" w:hAnsi="Times New Roman" w:cs="Times New Roman"/>
          <w:sz w:val="24"/>
          <w:szCs w:val="24"/>
          <w:highlight w:val="white"/>
        </w:rPr>
        <w:t xml:space="preserve">ollege </w:t>
      </w:r>
      <w:r w:rsidR="00AF2CD7" w:rsidRPr="00B80F88">
        <w:rPr>
          <w:rFonts w:ascii="Times New Roman" w:eastAsia="Times New Roman" w:hAnsi="Times New Roman" w:cs="Times New Roman"/>
          <w:sz w:val="24"/>
          <w:szCs w:val="24"/>
          <w:highlight w:val="white"/>
        </w:rPr>
        <w:t xml:space="preserve">schooling </w:t>
      </w:r>
      <w:r w:rsidRPr="00B80F88">
        <w:rPr>
          <w:rFonts w:ascii="Times New Roman" w:eastAsia="Times New Roman" w:hAnsi="Times New Roman" w:cs="Times New Roman"/>
          <w:sz w:val="24"/>
          <w:szCs w:val="24"/>
          <w:highlight w:val="white"/>
        </w:rPr>
        <w:t xml:space="preserve">and </w:t>
      </w:r>
      <w:r w:rsidR="00AF2CD7" w:rsidRPr="00B80F88">
        <w:rPr>
          <w:rFonts w:ascii="Times New Roman" w:eastAsia="Times New Roman" w:hAnsi="Times New Roman" w:cs="Times New Roman"/>
          <w:sz w:val="24"/>
          <w:szCs w:val="24"/>
          <w:highlight w:val="white"/>
        </w:rPr>
        <w:t>i</w:t>
      </w:r>
      <w:r w:rsidRPr="00B80F88">
        <w:rPr>
          <w:rFonts w:ascii="Times New Roman" w:eastAsia="Times New Roman" w:hAnsi="Times New Roman" w:cs="Times New Roman"/>
          <w:sz w:val="24"/>
          <w:szCs w:val="24"/>
          <w:highlight w:val="white"/>
        </w:rPr>
        <w:t xml:space="preserve">ndividual </w:t>
      </w:r>
      <w:r w:rsidR="00AF2CD7" w:rsidRPr="00B80F88">
        <w:rPr>
          <w:rFonts w:ascii="Times New Roman" w:eastAsia="Times New Roman" w:hAnsi="Times New Roman" w:cs="Times New Roman"/>
          <w:sz w:val="24"/>
          <w:szCs w:val="24"/>
          <w:highlight w:val="white"/>
        </w:rPr>
        <w:t>a</w:t>
      </w:r>
      <w:r w:rsidRPr="00B80F88">
        <w:rPr>
          <w:rFonts w:ascii="Times New Roman" w:eastAsia="Times New Roman" w:hAnsi="Times New Roman" w:cs="Times New Roman"/>
          <w:sz w:val="24"/>
          <w:szCs w:val="24"/>
          <w:highlight w:val="white"/>
        </w:rPr>
        <w:t>ttributes which define students’ goal commitments.</w:t>
      </w:r>
      <w:r w:rsidR="00E73DB1">
        <w:rPr>
          <w:rFonts w:ascii="Times New Roman" w:eastAsia="Times New Roman" w:hAnsi="Times New Roman" w:cs="Times New Roman"/>
          <w:sz w:val="24"/>
          <w:szCs w:val="24"/>
          <w:highlight w:val="white"/>
        </w:rPr>
        <w:t xml:space="preserve"> </w:t>
      </w:r>
      <w:r w:rsidRPr="00B80F88">
        <w:rPr>
          <w:rFonts w:ascii="Times New Roman" w:eastAsia="Times New Roman" w:hAnsi="Times New Roman" w:cs="Times New Roman"/>
          <w:sz w:val="24"/>
          <w:szCs w:val="24"/>
          <w:highlight w:val="white"/>
        </w:rPr>
        <w:t xml:space="preserve">Through interactions with academic and social structures students then achieve academic and social integration </w:t>
      </w:r>
      <w:r w:rsidR="00B80F88" w:rsidRPr="00B80F88">
        <w:rPr>
          <w:rFonts w:ascii="Times New Roman" w:eastAsia="Times New Roman" w:hAnsi="Times New Roman" w:cs="Times New Roman"/>
          <w:sz w:val="24"/>
          <w:szCs w:val="24"/>
          <w:highlight w:val="white"/>
        </w:rPr>
        <w:t>both of which are</w:t>
      </w:r>
      <w:r w:rsidRPr="00B80F88">
        <w:rPr>
          <w:rFonts w:ascii="Times New Roman" w:eastAsia="Times New Roman" w:hAnsi="Times New Roman" w:cs="Times New Roman"/>
          <w:sz w:val="24"/>
          <w:szCs w:val="24"/>
          <w:highlight w:val="white"/>
        </w:rPr>
        <w:t xml:space="preserve"> equally important for students’ persistence in college. Finally,</w:t>
      </w:r>
      <w:r w:rsidR="000626ED" w:rsidRPr="00B80F88">
        <w:rPr>
          <w:rFonts w:ascii="Times New Roman" w:eastAsia="Times New Roman" w:hAnsi="Times New Roman" w:cs="Times New Roman"/>
          <w:sz w:val="24"/>
          <w:szCs w:val="24"/>
          <w:highlight w:val="white"/>
        </w:rPr>
        <w:t xml:space="preserve"> t</w:t>
      </w:r>
      <w:r w:rsidRPr="00B80F88">
        <w:rPr>
          <w:rFonts w:ascii="Times New Roman" w:eastAsia="Times New Roman" w:hAnsi="Times New Roman" w:cs="Times New Roman"/>
          <w:sz w:val="24"/>
          <w:szCs w:val="24"/>
          <w:highlight w:val="white"/>
        </w:rPr>
        <w:t xml:space="preserve">he influential </w:t>
      </w:r>
      <w:proofErr w:type="spellStart"/>
      <w:r w:rsidRPr="00B80F88">
        <w:rPr>
          <w:rFonts w:ascii="Times New Roman" w:eastAsia="Times New Roman" w:hAnsi="Times New Roman" w:cs="Times New Roman"/>
          <w:sz w:val="24"/>
          <w:szCs w:val="24"/>
          <w:highlight w:val="white"/>
        </w:rPr>
        <w:t>Astin’s</w:t>
      </w:r>
      <w:proofErr w:type="spellEnd"/>
      <w:r w:rsidRPr="00B80F88">
        <w:rPr>
          <w:rFonts w:ascii="Times New Roman" w:eastAsia="Times New Roman" w:hAnsi="Times New Roman" w:cs="Times New Roman"/>
          <w:sz w:val="24"/>
          <w:szCs w:val="24"/>
          <w:highlight w:val="white"/>
        </w:rPr>
        <w:t xml:space="preserve"> (1984) involvement theory submits that student success in college depends on student involvement. Student involvement refers</w:t>
      </w:r>
      <w:r w:rsidR="00403571">
        <w:rPr>
          <w:rFonts w:ascii="Times New Roman" w:eastAsia="Times New Roman" w:hAnsi="Times New Roman" w:cs="Times New Roman"/>
          <w:sz w:val="24"/>
          <w:szCs w:val="24"/>
        </w:rPr>
        <w:t xml:space="preserve"> ‘</w:t>
      </w:r>
      <w:r w:rsidR="00B80F88" w:rsidRPr="00B80F88">
        <w:rPr>
          <w:rFonts w:ascii="Times New Roman" w:hAnsi="Times New Roman" w:cs="Times New Roman"/>
          <w:sz w:val="24"/>
          <w:szCs w:val="24"/>
          <w:lang w:val="en-GB"/>
        </w:rPr>
        <w:t>to the amount of physical and psychological</w:t>
      </w:r>
      <w:r w:rsidR="00403571">
        <w:rPr>
          <w:rFonts w:ascii="Times New Roman" w:hAnsi="Times New Roman" w:cs="Times New Roman"/>
          <w:sz w:val="24"/>
          <w:szCs w:val="24"/>
          <w:lang w:val="en-GB"/>
        </w:rPr>
        <w:t xml:space="preserve"> </w:t>
      </w:r>
      <w:r w:rsidR="00B80F88" w:rsidRPr="00B80F88">
        <w:rPr>
          <w:rFonts w:ascii="Times New Roman" w:hAnsi="Times New Roman" w:cs="Times New Roman"/>
          <w:sz w:val="24"/>
          <w:szCs w:val="24"/>
          <w:lang w:val="en-GB"/>
        </w:rPr>
        <w:t>energy that the student devotes to the</w:t>
      </w:r>
      <w:r w:rsidR="00403571">
        <w:rPr>
          <w:rFonts w:ascii="Times New Roman" w:hAnsi="Times New Roman" w:cs="Times New Roman"/>
          <w:sz w:val="24"/>
          <w:szCs w:val="24"/>
          <w:lang w:val="en-GB"/>
        </w:rPr>
        <w:t xml:space="preserve"> </w:t>
      </w:r>
      <w:r w:rsidR="00B80F88" w:rsidRPr="00B80F88">
        <w:rPr>
          <w:rFonts w:ascii="Times New Roman" w:hAnsi="Times New Roman" w:cs="Times New Roman"/>
          <w:sz w:val="24"/>
          <w:szCs w:val="24"/>
          <w:lang w:val="en-GB"/>
        </w:rPr>
        <w:t>academic experience</w:t>
      </w:r>
      <w:r w:rsidR="00403571">
        <w:rPr>
          <w:rFonts w:ascii="Times New Roman" w:hAnsi="Times New Roman" w:cs="Times New Roman"/>
          <w:sz w:val="24"/>
          <w:szCs w:val="24"/>
          <w:lang w:val="en-GB"/>
        </w:rPr>
        <w:t>’ (</w:t>
      </w:r>
      <w:proofErr w:type="spellStart"/>
      <w:r w:rsidR="00403571">
        <w:rPr>
          <w:rFonts w:ascii="Times New Roman" w:hAnsi="Times New Roman" w:cs="Times New Roman"/>
          <w:sz w:val="24"/>
          <w:szCs w:val="24"/>
          <w:lang w:val="en-GB"/>
        </w:rPr>
        <w:t>Astin</w:t>
      </w:r>
      <w:proofErr w:type="spellEnd"/>
      <w:r w:rsidR="00403571">
        <w:rPr>
          <w:rFonts w:ascii="Times New Roman" w:hAnsi="Times New Roman" w:cs="Times New Roman"/>
          <w:sz w:val="24"/>
          <w:szCs w:val="24"/>
          <w:lang w:val="en-GB"/>
        </w:rPr>
        <w:t xml:space="preserve"> 1984, 518)</w:t>
      </w:r>
      <w:r w:rsidR="00B80F88" w:rsidRPr="00B80F88">
        <w:rPr>
          <w:rFonts w:ascii="Times New Roman" w:hAnsi="Times New Roman" w:cs="Times New Roman"/>
          <w:sz w:val="24"/>
          <w:szCs w:val="24"/>
          <w:lang w:val="en-GB"/>
        </w:rPr>
        <w:t xml:space="preserve">. </w:t>
      </w:r>
      <w:r>
        <w:rPr>
          <w:rFonts w:ascii="Times New Roman" w:eastAsia="Times New Roman" w:hAnsi="Times New Roman" w:cs="Times New Roman"/>
          <w:sz w:val="24"/>
          <w:szCs w:val="24"/>
          <w:highlight w:val="white"/>
        </w:rPr>
        <w:t xml:space="preserve">In other words, the extent to which students can achieve particular developmental goals is a direct function of the time and effort they devote to activities designed to produce these gains. </w:t>
      </w:r>
    </w:p>
    <w:p w14:paraId="67AD1DB9" w14:textId="77777777" w:rsidR="00170769" w:rsidRDefault="00170769">
      <w:pPr>
        <w:jc w:val="both"/>
        <w:rPr>
          <w:rFonts w:ascii="Times New Roman" w:eastAsia="Times New Roman" w:hAnsi="Times New Roman" w:cs="Times New Roman"/>
          <w:sz w:val="24"/>
          <w:szCs w:val="24"/>
        </w:rPr>
      </w:pPr>
    </w:p>
    <w:p w14:paraId="13A4C5C2" w14:textId="28F87FA1" w:rsidR="009602B2"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emphasis of these theories on students’ interactions and engagements in the higher education context is important. Naturally, it is through the interactions with people in the higher education context and engagements in various activities </w:t>
      </w:r>
      <w:r w:rsidR="00E73DB1">
        <w:rPr>
          <w:rFonts w:ascii="Times New Roman" w:eastAsia="Times New Roman" w:hAnsi="Times New Roman" w:cs="Times New Roman"/>
          <w:sz w:val="24"/>
          <w:szCs w:val="24"/>
        </w:rPr>
        <w:t xml:space="preserve">offered by higher education institutions </w:t>
      </w:r>
      <w:r>
        <w:rPr>
          <w:rFonts w:ascii="Times New Roman" w:eastAsia="Times New Roman" w:hAnsi="Times New Roman" w:cs="Times New Roman"/>
          <w:sz w:val="24"/>
          <w:szCs w:val="24"/>
        </w:rPr>
        <w:t>that students form their experiences and achiev</w:t>
      </w:r>
      <w:r w:rsidR="00E73DB1">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outcomes. But merely the frequency, duration and objectives o</w:t>
      </w:r>
      <w:r w:rsidR="00E73DB1">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these interactions and engagements, does not offer a satisfactory explanation of why some students do better than others, even if control for their background and personality characteristics.</w:t>
      </w:r>
      <w:r w:rsidR="00E73DB1">
        <w:rPr>
          <w:rFonts w:ascii="Times New Roman" w:eastAsia="Times New Roman" w:hAnsi="Times New Roman" w:cs="Times New Roman"/>
          <w:sz w:val="24"/>
          <w:szCs w:val="24"/>
        </w:rPr>
        <w:t xml:space="preserve"> </w:t>
      </w:r>
      <w:r w:rsidR="00E73DB1">
        <w:rPr>
          <w:rFonts w:ascii="Times New Roman" w:eastAsia="Times New Roman" w:hAnsi="Times New Roman" w:cs="Times New Roman"/>
          <w:sz w:val="24"/>
          <w:szCs w:val="24"/>
          <w:highlight w:val="white"/>
        </w:rPr>
        <w:lastRenderedPageBreak/>
        <w:t>T</w:t>
      </w:r>
      <w:r>
        <w:rPr>
          <w:rFonts w:ascii="Times New Roman" w:eastAsia="Times New Roman" w:hAnsi="Times New Roman" w:cs="Times New Roman"/>
          <w:sz w:val="24"/>
          <w:szCs w:val="24"/>
          <w:highlight w:val="white"/>
        </w:rPr>
        <w:t xml:space="preserve">he quality of student </w:t>
      </w:r>
      <w:r w:rsidR="00E73DB1">
        <w:rPr>
          <w:rFonts w:ascii="Times New Roman" w:eastAsia="Times New Roman" w:hAnsi="Times New Roman" w:cs="Times New Roman"/>
          <w:sz w:val="24"/>
          <w:szCs w:val="24"/>
          <w:highlight w:val="white"/>
        </w:rPr>
        <w:t xml:space="preserve">interactions and </w:t>
      </w:r>
      <w:r>
        <w:rPr>
          <w:rFonts w:ascii="Times New Roman" w:eastAsia="Times New Roman" w:hAnsi="Times New Roman" w:cs="Times New Roman"/>
          <w:sz w:val="24"/>
          <w:szCs w:val="24"/>
          <w:highlight w:val="white"/>
        </w:rPr>
        <w:t>engagement</w:t>
      </w:r>
      <w:r w:rsidR="00E73DB1">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 xml:space="preserve"> in high</w:t>
      </w:r>
      <w:r w:rsidR="00AF2CD7">
        <w:rPr>
          <w:rFonts w:ascii="Times New Roman" w:eastAsia="Times New Roman" w:hAnsi="Times New Roman" w:cs="Times New Roman"/>
          <w:sz w:val="24"/>
          <w:szCs w:val="24"/>
          <w:highlight w:val="white"/>
        </w:rPr>
        <w:t>er</w:t>
      </w:r>
      <w:r>
        <w:rPr>
          <w:rFonts w:ascii="Times New Roman" w:eastAsia="Times New Roman" w:hAnsi="Times New Roman" w:cs="Times New Roman"/>
          <w:sz w:val="24"/>
          <w:szCs w:val="24"/>
          <w:highlight w:val="white"/>
        </w:rPr>
        <w:t xml:space="preserve"> </w:t>
      </w:r>
      <w:r w:rsidR="000626ED">
        <w:rPr>
          <w:rFonts w:ascii="Times New Roman" w:eastAsia="Times New Roman" w:hAnsi="Times New Roman" w:cs="Times New Roman"/>
          <w:sz w:val="24"/>
          <w:szCs w:val="24"/>
          <w:highlight w:val="white"/>
        </w:rPr>
        <w:t>education</w:t>
      </w:r>
      <w:r>
        <w:rPr>
          <w:rFonts w:ascii="Times New Roman" w:eastAsia="Times New Roman" w:hAnsi="Times New Roman" w:cs="Times New Roman"/>
          <w:sz w:val="24"/>
          <w:szCs w:val="24"/>
          <w:highlight w:val="white"/>
        </w:rPr>
        <w:t xml:space="preserve"> contexts </w:t>
      </w:r>
      <w:r w:rsidR="00E73DB1">
        <w:rPr>
          <w:rFonts w:ascii="Times New Roman" w:eastAsia="Times New Roman" w:hAnsi="Times New Roman" w:cs="Times New Roman"/>
          <w:sz w:val="24"/>
          <w:szCs w:val="24"/>
          <w:highlight w:val="white"/>
        </w:rPr>
        <w:t>(Biesta &amp; Tedder 2006, 2007; Biesta &amp; Robinson 2015; Biesta 2010) which is conditioned by students entering into these engagements with the aforementioned capabilities, such as intentionality,  forethought, self-regulation and reflexivity, self-awareness and self-efficacy,</w:t>
      </w:r>
      <w:r>
        <w:rPr>
          <w:rFonts w:ascii="Times New Roman" w:eastAsia="Times New Roman" w:hAnsi="Times New Roman" w:cs="Times New Roman"/>
          <w:sz w:val="24"/>
          <w:szCs w:val="24"/>
          <w:highlight w:val="white"/>
        </w:rPr>
        <w:t xml:space="preserve"> is much less convincingly accounted for</w:t>
      </w:r>
      <w:r w:rsidR="00E73DB1">
        <w:rPr>
          <w:rFonts w:ascii="Times New Roman" w:eastAsia="Times New Roman" w:hAnsi="Times New Roman" w:cs="Times New Roman"/>
          <w:sz w:val="24"/>
          <w:szCs w:val="24"/>
          <w:highlight w:val="white"/>
        </w:rPr>
        <w:t xml:space="preserve"> in the existing theories</w:t>
      </w:r>
      <w:r w:rsidR="00DF5D72">
        <w:rPr>
          <w:rFonts w:ascii="Times New Roman" w:eastAsia="Times New Roman" w:hAnsi="Times New Roman" w:cs="Times New Roman"/>
          <w:sz w:val="24"/>
          <w:szCs w:val="24"/>
          <w:highlight w:val="white"/>
        </w:rPr>
        <w:t xml:space="preserve"> (see also </w:t>
      </w:r>
      <w:proofErr w:type="spellStart"/>
      <w:r w:rsidR="00DF5D72">
        <w:rPr>
          <w:rFonts w:ascii="Times New Roman" w:eastAsia="Times New Roman" w:hAnsi="Times New Roman" w:cs="Times New Roman"/>
          <w:sz w:val="24"/>
          <w:szCs w:val="24"/>
          <w:highlight w:val="white"/>
        </w:rPr>
        <w:t>Kahu</w:t>
      </w:r>
      <w:proofErr w:type="spellEnd"/>
      <w:r w:rsidR="00DF5D72">
        <w:rPr>
          <w:rFonts w:ascii="Times New Roman" w:eastAsia="Times New Roman" w:hAnsi="Times New Roman" w:cs="Times New Roman"/>
          <w:sz w:val="24"/>
          <w:szCs w:val="24"/>
          <w:highlight w:val="white"/>
        </w:rPr>
        <w:t xml:space="preserve"> (2013) for important development of the concept student engagement)</w:t>
      </w:r>
      <w:r w:rsidR="00E73DB1">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871B5B">
        <w:rPr>
          <w:rFonts w:ascii="Times New Roman" w:eastAsia="Times New Roman" w:hAnsi="Times New Roman" w:cs="Times New Roman"/>
          <w:sz w:val="24"/>
          <w:szCs w:val="24"/>
          <w:highlight w:val="white"/>
        </w:rPr>
        <w:t>Most of research stemming from these theoretical models does not address the question of how students make meaning of the possibilities and resources available to them in higher education environment and how they formulate their life narratives which, as suggested by Biesta and Tedder (2007, 132), can be an important vehicle for learning about one’s agentic orientations.</w:t>
      </w:r>
    </w:p>
    <w:p w14:paraId="3F21D603" w14:textId="101C19B1" w:rsidR="009602B2" w:rsidRDefault="009602B2">
      <w:pPr>
        <w:jc w:val="both"/>
        <w:rPr>
          <w:rFonts w:ascii="Times New Roman" w:eastAsia="Times New Roman" w:hAnsi="Times New Roman" w:cs="Times New Roman"/>
          <w:sz w:val="24"/>
          <w:szCs w:val="24"/>
          <w:highlight w:val="white"/>
        </w:rPr>
      </w:pPr>
    </w:p>
    <w:p w14:paraId="59AC5433" w14:textId="47609357" w:rsidR="009602B2" w:rsidRDefault="009602B2" w:rsidP="009602B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Also, studies that focus merely on d</w:t>
      </w:r>
      <w:r>
        <w:rPr>
          <w:rFonts w:ascii="Times New Roman" w:eastAsia="Times New Roman" w:hAnsi="Times New Roman" w:cs="Times New Roman"/>
          <w:sz w:val="24"/>
          <w:szCs w:val="24"/>
        </w:rPr>
        <w:t>iversity of student backgrounds as a factor determining  differential student outcomes are important but incomplete. A considerable body of research highlights educational inequalities in access to and attainment of higher education, whereby first generation, lower socio-economic status, and working students are considered more high-risk for dropping out and for lower educational outcomes (</w:t>
      </w:r>
      <w:r>
        <w:rPr>
          <w:rFonts w:ascii="Times New Roman" w:eastAsia="Times New Roman" w:hAnsi="Times New Roman" w:cs="Times New Roman"/>
          <w:sz w:val="24"/>
          <w:szCs w:val="24"/>
          <w:highlight w:val="white"/>
        </w:rPr>
        <w:t>Stevens</w:t>
      </w:r>
      <w:r w:rsidR="008264E0">
        <w:rPr>
          <w:rFonts w:ascii="Times New Roman" w:eastAsia="Times New Roman" w:hAnsi="Times New Roman" w:cs="Times New Roman"/>
          <w:sz w:val="24"/>
          <w:szCs w:val="24"/>
          <w:highlight w:val="white"/>
        </w:rPr>
        <w:t xml:space="preserve">on </w:t>
      </w:r>
      <w:r>
        <w:rPr>
          <w:rFonts w:ascii="Times New Roman" w:eastAsia="Times New Roman" w:hAnsi="Times New Roman" w:cs="Times New Roman"/>
          <w:sz w:val="24"/>
          <w:szCs w:val="24"/>
          <w:highlight w:val="white"/>
        </w:rPr>
        <w:t xml:space="preserve">2012; Hurtado and Ruiz 2012; Hurtado et al 2012; </w:t>
      </w:r>
      <w:proofErr w:type="spellStart"/>
      <w:r>
        <w:rPr>
          <w:rFonts w:ascii="Times New Roman" w:eastAsia="Times New Roman" w:hAnsi="Times New Roman" w:cs="Times New Roman"/>
          <w:sz w:val="24"/>
          <w:szCs w:val="24"/>
          <w:highlight w:val="white"/>
        </w:rPr>
        <w:t>Perna</w:t>
      </w:r>
      <w:proofErr w:type="spellEnd"/>
      <w:r>
        <w:rPr>
          <w:rFonts w:ascii="Times New Roman" w:eastAsia="Times New Roman" w:hAnsi="Times New Roman" w:cs="Times New Roman"/>
          <w:sz w:val="24"/>
          <w:szCs w:val="24"/>
          <w:highlight w:val="white"/>
        </w:rPr>
        <w:t xml:space="preserve"> 2005; Pascarella et al 2004; </w:t>
      </w:r>
      <w:proofErr w:type="spellStart"/>
      <w:r>
        <w:rPr>
          <w:rFonts w:ascii="Times New Roman" w:eastAsia="Times New Roman" w:hAnsi="Times New Roman" w:cs="Times New Roman"/>
          <w:sz w:val="24"/>
          <w:szCs w:val="24"/>
          <w:highlight w:val="white"/>
        </w:rPr>
        <w:t>Gurin</w:t>
      </w:r>
      <w:proofErr w:type="spellEnd"/>
      <w:r>
        <w:rPr>
          <w:rFonts w:ascii="Times New Roman" w:eastAsia="Times New Roman" w:hAnsi="Times New Roman" w:cs="Times New Roman"/>
          <w:sz w:val="24"/>
          <w:szCs w:val="24"/>
          <w:highlight w:val="white"/>
        </w:rPr>
        <w:t xml:space="preserve"> et al 2002). </w:t>
      </w:r>
      <w:r w:rsidR="00871B5B">
        <w:rPr>
          <w:rFonts w:ascii="Times New Roman" w:eastAsia="Times New Roman" w:hAnsi="Times New Roman" w:cs="Times New Roman"/>
          <w:sz w:val="24"/>
          <w:szCs w:val="24"/>
          <w:highlight w:val="white"/>
        </w:rPr>
        <w:t>However</w:t>
      </w:r>
      <w:r>
        <w:rPr>
          <w:rFonts w:ascii="Times New Roman" w:eastAsia="Times New Roman" w:hAnsi="Times New Roman" w:cs="Times New Roman"/>
          <w:sz w:val="24"/>
          <w:szCs w:val="24"/>
          <w:highlight w:val="white"/>
        </w:rPr>
        <w:t xml:space="preserve">, </w:t>
      </w:r>
      <w:r w:rsidR="00871B5B">
        <w:rPr>
          <w:rFonts w:ascii="Times New Roman" w:eastAsia="Times New Roman" w:hAnsi="Times New Roman" w:cs="Times New Roman"/>
          <w:sz w:val="24"/>
          <w:szCs w:val="24"/>
          <w:highlight w:val="white"/>
        </w:rPr>
        <w:t xml:space="preserve">underprivileged students </w:t>
      </w:r>
      <w:r>
        <w:rPr>
          <w:rFonts w:ascii="Times New Roman" w:eastAsia="Times New Roman" w:hAnsi="Times New Roman" w:cs="Times New Roman"/>
          <w:sz w:val="24"/>
          <w:szCs w:val="24"/>
          <w:highlight w:val="white"/>
        </w:rPr>
        <w:t>can and often do achieve their educational goals despite the challenges</w:t>
      </w:r>
      <w:r w:rsidR="00871B5B">
        <w:rPr>
          <w:rFonts w:ascii="Times New Roman" w:eastAsia="Times New Roman" w:hAnsi="Times New Roman" w:cs="Times New Roman"/>
          <w:sz w:val="24"/>
          <w:szCs w:val="24"/>
          <w:highlight w:val="white"/>
        </w:rPr>
        <w:t xml:space="preserve"> encountered</w:t>
      </w:r>
      <w:r>
        <w:rPr>
          <w:rFonts w:ascii="Times New Roman" w:eastAsia="Times New Roman" w:hAnsi="Times New Roman" w:cs="Times New Roman"/>
          <w:sz w:val="24"/>
          <w:szCs w:val="24"/>
          <w:highlight w:val="white"/>
        </w:rPr>
        <w:t xml:space="preserve">. In fact, high-achieving </w:t>
      </w:r>
      <w:r w:rsidR="00871B5B">
        <w:rPr>
          <w:rFonts w:ascii="Times New Roman" w:eastAsia="Times New Roman" w:hAnsi="Times New Roman" w:cs="Times New Roman"/>
          <w:sz w:val="24"/>
          <w:szCs w:val="24"/>
          <w:highlight w:val="white"/>
        </w:rPr>
        <w:t>underprivileged</w:t>
      </w:r>
      <w:r>
        <w:rPr>
          <w:rFonts w:ascii="Times New Roman" w:eastAsia="Times New Roman" w:hAnsi="Times New Roman" w:cs="Times New Roman"/>
          <w:sz w:val="24"/>
          <w:szCs w:val="24"/>
          <w:highlight w:val="white"/>
        </w:rPr>
        <w:t xml:space="preserve"> students demonstrate remarkable capabilities to navigate and influence their learning and education pathways and environments, i.e., </w:t>
      </w:r>
      <w:r w:rsidR="00871B5B">
        <w:rPr>
          <w:rFonts w:ascii="Times New Roman" w:eastAsia="Times New Roman" w:hAnsi="Times New Roman" w:cs="Times New Roman"/>
          <w:sz w:val="24"/>
          <w:szCs w:val="24"/>
          <w:highlight w:val="white"/>
        </w:rPr>
        <w:t xml:space="preserve">remarkable </w:t>
      </w:r>
      <w:r>
        <w:rPr>
          <w:rFonts w:ascii="Times New Roman" w:eastAsia="Times New Roman" w:hAnsi="Times New Roman" w:cs="Times New Roman"/>
          <w:sz w:val="24"/>
          <w:szCs w:val="24"/>
          <w:highlight w:val="white"/>
        </w:rPr>
        <w:t>agency towards self-formation</w:t>
      </w:r>
      <w:r w:rsidR="00871B5B">
        <w:rPr>
          <w:rFonts w:ascii="Times New Roman" w:eastAsia="Times New Roman" w:hAnsi="Times New Roman" w:cs="Times New Roman"/>
          <w:sz w:val="24"/>
          <w:szCs w:val="24"/>
          <w:highlight w:val="white"/>
        </w:rPr>
        <w:t xml:space="preserve"> reinforcing their resilience and persistence</w:t>
      </w:r>
      <w:r>
        <w:rPr>
          <w:rFonts w:ascii="Times New Roman" w:eastAsia="Times New Roman" w:hAnsi="Times New Roman" w:cs="Times New Roman"/>
          <w:sz w:val="24"/>
          <w:szCs w:val="24"/>
          <w:highlight w:val="white"/>
        </w:rPr>
        <w:t xml:space="preserve">. At the same time, students from affluent backgrounds can fail academically. </w:t>
      </w:r>
      <w:r w:rsidR="00871B5B">
        <w:rPr>
          <w:rFonts w:ascii="Times New Roman" w:eastAsia="Times New Roman" w:hAnsi="Times New Roman" w:cs="Times New Roman"/>
          <w:sz w:val="24"/>
          <w:szCs w:val="24"/>
          <w:highlight w:val="white"/>
        </w:rPr>
        <w:t>Thus</w:t>
      </w:r>
      <w:r>
        <w:rPr>
          <w:rFonts w:ascii="Times New Roman" w:eastAsia="Times New Roman" w:hAnsi="Times New Roman" w:cs="Times New Roman"/>
          <w:sz w:val="24"/>
          <w:szCs w:val="24"/>
          <w:highlight w:val="white"/>
        </w:rPr>
        <w:t xml:space="preserve">, student background is not a defining factor of student, even if it can have significant effects on students’ educational trajectories. </w:t>
      </w:r>
    </w:p>
    <w:p w14:paraId="3AD8AFE4" w14:textId="77777777" w:rsidR="009602B2" w:rsidRDefault="009602B2">
      <w:pPr>
        <w:jc w:val="both"/>
        <w:rPr>
          <w:rFonts w:ascii="Times New Roman" w:eastAsia="Times New Roman" w:hAnsi="Times New Roman" w:cs="Times New Roman"/>
          <w:sz w:val="24"/>
          <w:szCs w:val="24"/>
          <w:highlight w:val="white"/>
        </w:rPr>
      </w:pPr>
    </w:p>
    <w:p w14:paraId="30A2F417" w14:textId="4D0B062F"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chapter argues that we need a comprehensive theoretical framework that addresses not only what agentic orientations student have, what agentic opportunities and resources they perceive, and what the relationships between student agency and outcome are, but also how they construct ideas about their “possible future selves” (</w:t>
      </w:r>
      <w:proofErr w:type="spellStart"/>
      <w:r>
        <w:rPr>
          <w:rFonts w:ascii="Times New Roman" w:eastAsia="Times New Roman" w:hAnsi="Times New Roman" w:cs="Times New Roman"/>
          <w:sz w:val="24"/>
          <w:szCs w:val="24"/>
          <w:highlight w:val="white"/>
        </w:rPr>
        <w:t>Leondari</w:t>
      </w:r>
      <w:proofErr w:type="spellEnd"/>
      <w:r>
        <w:rPr>
          <w:rFonts w:ascii="Times New Roman" w:eastAsia="Times New Roman" w:hAnsi="Times New Roman" w:cs="Times New Roman"/>
          <w:sz w:val="24"/>
          <w:szCs w:val="24"/>
          <w:highlight w:val="white"/>
        </w:rPr>
        <w:t xml:space="preserve"> 2007; Clegg and </w:t>
      </w:r>
      <w:proofErr w:type="spellStart"/>
      <w:r>
        <w:rPr>
          <w:rFonts w:ascii="Times New Roman" w:eastAsia="Times New Roman" w:hAnsi="Times New Roman" w:cs="Times New Roman"/>
          <w:sz w:val="24"/>
          <w:szCs w:val="24"/>
          <w:highlight w:val="white"/>
        </w:rPr>
        <w:t>Bufton</w:t>
      </w:r>
      <w:proofErr w:type="spellEnd"/>
      <w:r>
        <w:rPr>
          <w:rFonts w:ascii="Times New Roman" w:eastAsia="Times New Roman" w:hAnsi="Times New Roman" w:cs="Times New Roman"/>
          <w:sz w:val="24"/>
          <w:szCs w:val="24"/>
          <w:highlight w:val="white"/>
        </w:rPr>
        <w:t xml:space="preserve"> 2008; Clegg 2010; Stevenson &amp; Clegg 2011), how their background conditions these projections (Ball et al 2002; Reay et al 2005; Reay et al 2010; Stevenson &amp; Clegg 201</w:t>
      </w:r>
      <w:r w:rsidR="008264E0">
        <w:rPr>
          <w:rFonts w:ascii="Times New Roman" w:eastAsia="Times New Roman" w:hAnsi="Times New Roman" w:cs="Times New Roman"/>
          <w:sz w:val="24"/>
          <w:szCs w:val="24"/>
          <w:highlight w:val="white"/>
        </w:rPr>
        <w:t>1</w:t>
      </w:r>
      <w:r>
        <w:rPr>
          <w:rFonts w:ascii="Times New Roman" w:eastAsia="Times New Roman" w:hAnsi="Times New Roman" w:cs="Times New Roman"/>
          <w:sz w:val="24"/>
          <w:szCs w:val="24"/>
          <w:highlight w:val="white"/>
        </w:rPr>
        <w:t xml:space="preserve">; Burke, Scurry &amp; Blenkinsopp 2020), and why and how they choose  their engagements in curricular, extracurricular and employment activities (Clegg &amp; Bradley 2006; Clegg &amp; </w:t>
      </w:r>
      <w:proofErr w:type="spellStart"/>
      <w:r>
        <w:rPr>
          <w:rFonts w:ascii="Times New Roman" w:eastAsia="Times New Roman" w:hAnsi="Times New Roman" w:cs="Times New Roman"/>
          <w:sz w:val="24"/>
          <w:szCs w:val="24"/>
          <w:highlight w:val="white"/>
        </w:rPr>
        <w:t>Bufton</w:t>
      </w:r>
      <w:proofErr w:type="spellEnd"/>
      <w:r>
        <w:rPr>
          <w:rFonts w:ascii="Times New Roman" w:eastAsia="Times New Roman" w:hAnsi="Times New Roman" w:cs="Times New Roman"/>
          <w:sz w:val="24"/>
          <w:szCs w:val="24"/>
          <w:highlight w:val="white"/>
        </w:rPr>
        <w:t xml:space="preserve"> 2008; Clegg, Stevenson &amp; </w:t>
      </w:r>
      <w:proofErr w:type="spellStart"/>
      <w:r>
        <w:rPr>
          <w:rFonts w:ascii="Times New Roman" w:eastAsia="Times New Roman" w:hAnsi="Times New Roman" w:cs="Times New Roman"/>
          <w:sz w:val="24"/>
          <w:szCs w:val="24"/>
          <w:highlight w:val="white"/>
        </w:rPr>
        <w:t>Willott</w:t>
      </w:r>
      <w:proofErr w:type="spellEnd"/>
      <w:r>
        <w:rPr>
          <w:rFonts w:ascii="Times New Roman" w:eastAsia="Times New Roman" w:hAnsi="Times New Roman" w:cs="Times New Roman"/>
          <w:sz w:val="24"/>
          <w:szCs w:val="24"/>
          <w:highlight w:val="white"/>
        </w:rPr>
        <w:t xml:space="preserve"> 2010; Bennett, Knight &amp; Bell 2020; Griffiths et al 2021). Accounting for the student capabilities that define the quality of student engagements in higher education and ultimately shape student experiences and outcomes is crucial for all students but especially for exploring inclusion and success of a underprivileged and vulnerable groups of students (</w:t>
      </w:r>
      <w:proofErr w:type="spellStart"/>
      <w:r>
        <w:rPr>
          <w:rFonts w:ascii="Times New Roman" w:eastAsia="Times New Roman" w:hAnsi="Times New Roman" w:cs="Times New Roman"/>
          <w:sz w:val="24"/>
          <w:szCs w:val="24"/>
          <w:highlight w:val="white"/>
        </w:rPr>
        <w:t>Gurin</w:t>
      </w:r>
      <w:proofErr w:type="spellEnd"/>
      <w:r>
        <w:rPr>
          <w:rFonts w:ascii="Times New Roman" w:eastAsia="Times New Roman" w:hAnsi="Times New Roman" w:cs="Times New Roman"/>
          <w:sz w:val="24"/>
          <w:szCs w:val="24"/>
          <w:highlight w:val="white"/>
        </w:rPr>
        <w:t xml:space="preserve"> et al 2002; Ball et al 2002; Reay et al. 2005, 2010).</w:t>
      </w:r>
    </w:p>
    <w:p w14:paraId="767AE9D3" w14:textId="77777777" w:rsidR="00170769" w:rsidRDefault="00170769">
      <w:pPr>
        <w:jc w:val="both"/>
        <w:rPr>
          <w:rFonts w:ascii="Times New Roman" w:eastAsia="Times New Roman" w:hAnsi="Times New Roman" w:cs="Times New Roman"/>
          <w:sz w:val="24"/>
          <w:szCs w:val="24"/>
          <w:highlight w:val="white"/>
        </w:rPr>
      </w:pPr>
    </w:p>
    <w:p w14:paraId="22F0C77D" w14:textId="77777777" w:rsidR="00170769" w:rsidRDefault="00170769">
      <w:pPr>
        <w:jc w:val="both"/>
        <w:rPr>
          <w:rFonts w:ascii="Times New Roman" w:eastAsia="Times New Roman" w:hAnsi="Times New Roman" w:cs="Times New Roman"/>
          <w:sz w:val="24"/>
          <w:szCs w:val="24"/>
          <w:highlight w:val="white"/>
        </w:rPr>
      </w:pPr>
    </w:p>
    <w:p w14:paraId="0A21CCD9" w14:textId="77777777" w:rsidR="00170769" w:rsidRDefault="00BF3419">
      <w:pPr>
        <w:pStyle w:val="Heading2"/>
        <w:jc w:val="both"/>
      </w:pPr>
      <w:bookmarkStart w:id="6" w:name="_4n8ft6kf6uho" w:colFirst="0" w:colLast="0"/>
      <w:bookmarkEnd w:id="6"/>
      <w:r>
        <w:lastRenderedPageBreak/>
        <w:t xml:space="preserve">Literature on student capabilities </w:t>
      </w:r>
    </w:p>
    <w:p w14:paraId="4DBC4A6B" w14:textId="7A798170" w:rsidR="00170769" w:rsidRDefault="00BF3419">
      <w:pPr>
        <w:spacing w:after="1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separate strand of research </w:t>
      </w:r>
      <w:r w:rsidR="007263A9">
        <w:rPr>
          <w:rFonts w:ascii="Times New Roman" w:eastAsia="Times New Roman" w:hAnsi="Times New Roman" w:cs="Times New Roman"/>
          <w:sz w:val="24"/>
          <w:szCs w:val="24"/>
          <w:highlight w:val="white"/>
        </w:rPr>
        <w:t xml:space="preserve">in educational psychology </w:t>
      </w:r>
      <w:r>
        <w:rPr>
          <w:rFonts w:ascii="Times New Roman" w:eastAsia="Times New Roman" w:hAnsi="Times New Roman" w:cs="Times New Roman"/>
          <w:sz w:val="24"/>
          <w:szCs w:val="24"/>
          <w:highlight w:val="white"/>
        </w:rPr>
        <w:t xml:space="preserve">has explored different capabilities shown as relevant for student </w:t>
      </w:r>
      <w:r w:rsidR="00ED66DA">
        <w:rPr>
          <w:rFonts w:ascii="Times New Roman" w:eastAsia="Times New Roman" w:hAnsi="Times New Roman" w:cs="Times New Roman"/>
          <w:sz w:val="24"/>
          <w:szCs w:val="24"/>
          <w:highlight w:val="white"/>
        </w:rPr>
        <w:t xml:space="preserve">experiences and </w:t>
      </w:r>
      <w:r>
        <w:rPr>
          <w:rFonts w:ascii="Times New Roman" w:eastAsia="Times New Roman" w:hAnsi="Times New Roman" w:cs="Times New Roman"/>
          <w:sz w:val="24"/>
          <w:szCs w:val="24"/>
          <w:highlight w:val="white"/>
        </w:rPr>
        <w:t>outcomes in higher education.</w:t>
      </w:r>
    </w:p>
    <w:p w14:paraId="4B7FBD71" w14:textId="798A5215"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Bandura (1986, 1997, 2001, 2005) places personal self-efficacy beliefs as a necessary condition of human agency and defines it as individuals’ belief in their capacity to execute behaviors necessary to produce desired results. According to Bandura (2005, p. 3), </w:t>
      </w:r>
      <w:r w:rsidR="007263A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[t]</w:t>
      </w:r>
      <w:r>
        <w:rPr>
          <w:rFonts w:ascii="Times New Roman" w:eastAsia="Times New Roman" w:hAnsi="Times New Roman" w:cs="Times New Roman"/>
          <w:sz w:val="24"/>
          <w:szCs w:val="24"/>
        </w:rPr>
        <w:t>his core belief is the foundation of human motivation, well-being, and accomplishments. Unless people believe they can produce desired effects by their actions, they have little incentive to act or to persevere in the face of difficulties</w:t>
      </w:r>
      <w:r w:rsidR="007263A9">
        <w:rPr>
          <w:rFonts w:ascii="Times New Roman" w:eastAsia="Times New Roman" w:hAnsi="Times New Roman" w:cs="Times New Roman"/>
          <w:sz w:val="24"/>
          <w:szCs w:val="24"/>
        </w:rPr>
        <w:t>’</w:t>
      </w:r>
      <w:r w:rsidR="005A37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Bandura (2005, p. 3) also suggests that human agency is demonstrated through intentionality (forming intentions with action plans and strategies), forethought (setting goals and anticipating likely outcomes of actions), self-regulation (reflection, monitoring and regulating strategies) and self-awareness (self-examining of own functioning and to understand own values and beliefs). </w:t>
      </w:r>
      <w:r w:rsidR="00E86863">
        <w:rPr>
          <w:rFonts w:ascii="Times New Roman" w:eastAsia="Times New Roman" w:hAnsi="Times New Roman" w:cs="Times New Roman"/>
          <w:sz w:val="24"/>
          <w:szCs w:val="24"/>
          <w:highlight w:val="white"/>
        </w:rPr>
        <w:t xml:space="preserve">These capabilities figure in several other models of capabilities that enhance student learning and other </w:t>
      </w:r>
      <w:r w:rsidR="00ED66DA">
        <w:rPr>
          <w:rFonts w:ascii="Times New Roman" w:eastAsia="Times New Roman" w:hAnsi="Times New Roman" w:cs="Times New Roman"/>
          <w:sz w:val="24"/>
          <w:szCs w:val="24"/>
          <w:highlight w:val="white"/>
        </w:rPr>
        <w:t xml:space="preserve">student </w:t>
      </w:r>
      <w:r w:rsidR="00E86863">
        <w:rPr>
          <w:rFonts w:ascii="Times New Roman" w:eastAsia="Times New Roman" w:hAnsi="Times New Roman" w:cs="Times New Roman"/>
          <w:sz w:val="24"/>
          <w:szCs w:val="24"/>
          <w:highlight w:val="white"/>
        </w:rPr>
        <w:t>outcomes in higher education.</w:t>
      </w:r>
    </w:p>
    <w:p w14:paraId="7E937855" w14:textId="77777777" w:rsidR="00170769" w:rsidRDefault="00170769">
      <w:pPr>
        <w:jc w:val="both"/>
        <w:rPr>
          <w:rFonts w:ascii="Times New Roman" w:eastAsia="Times New Roman" w:hAnsi="Times New Roman" w:cs="Times New Roman"/>
          <w:sz w:val="24"/>
          <w:szCs w:val="24"/>
          <w:highlight w:val="white"/>
        </w:rPr>
      </w:pPr>
    </w:p>
    <w:p w14:paraId="0D23AFD0" w14:textId="3B51C0B5" w:rsidR="00E86863" w:rsidRDefault="00ED66DA" w:rsidP="00E8686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One notable such model is the self-regulated learning model (Zimmermann 2002, 2008). </w:t>
      </w:r>
      <w:r w:rsidR="00E86863">
        <w:rPr>
          <w:rFonts w:ascii="Times New Roman" w:eastAsia="Times New Roman" w:hAnsi="Times New Roman" w:cs="Times New Roman"/>
          <w:sz w:val="24"/>
          <w:szCs w:val="24"/>
          <w:highlight w:val="white"/>
        </w:rPr>
        <w:t>Self-regulated learning refers to processes such as goal setting, metacognition, and self-assessment, all of which are considered beneficial for student learning. The model emphasizes metacognitive skills which are necessary for students  to take greater responsibility for their own learning and adopt their strategies for achieving learning goals</w:t>
      </w:r>
      <w:r w:rsidR="00BF3419">
        <w:rPr>
          <w:rFonts w:ascii="Times New Roman" w:eastAsia="Times New Roman" w:hAnsi="Times New Roman" w:cs="Times New Roman"/>
          <w:sz w:val="24"/>
          <w:szCs w:val="24"/>
          <w:highlight w:val="white"/>
        </w:rPr>
        <w:t xml:space="preserve"> (Zimmerman 2002, 2008). This model has been implemented in practice through “Personal Development Planning'' which prompts students to reflect on their own learning, performance and achievements, plan all-round personal, educational and career goals and record their own achievements (Clegg and Bradley 2006). </w:t>
      </w:r>
      <w:r w:rsidR="00E86863">
        <w:rPr>
          <w:rFonts w:ascii="Times New Roman" w:eastAsia="Times New Roman" w:hAnsi="Times New Roman" w:cs="Times New Roman"/>
          <w:sz w:val="24"/>
          <w:szCs w:val="24"/>
        </w:rPr>
        <w:t>Related concept to self-regulated learning is self-directed learning. Self-directed learning describes a process ‘...</w:t>
      </w:r>
      <w:r w:rsidR="00E86863">
        <w:rPr>
          <w:rFonts w:ascii="Times New Roman" w:eastAsia="Times New Roman" w:hAnsi="Times New Roman" w:cs="Times New Roman"/>
          <w:sz w:val="24"/>
          <w:szCs w:val="24"/>
          <w:highlight w:val="white"/>
        </w:rPr>
        <w:t>in which individuals take the initiative, with or without the help of others, in diagnosing their learning needs, formulating learning goals, identifying human and material resources for learning, choosing and implementing appropriate learning strategies, and evaluating learning outcomes’ (Knowles 1975, 8)</w:t>
      </w:r>
      <w:r w:rsidR="00E865E8">
        <w:rPr>
          <w:rFonts w:ascii="Times New Roman" w:eastAsia="Times New Roman" w:hAnsi="Times New Roman" w:cs="Times New Roman"/>
          <w:sz w:val="24"/>
          <w:szCs w:val="24"/>
          <w:highlight w:val="white"/>
        </w:rPr>
        <w:t>.</w:t>
      </w:r>
      <w:r w:rsidR="00E86863">
        <w:rPr>
          <w:rFonts w:ascii="Times New Roman" w:eastAsia="Times New Roman" w:hAnsi="Times New Roman" w:cs="Times New Roman"/>
          <w:sz w:val="24"/>
          <w:szCs w:val="24"/>
          <w:highlight w:val="white"/>
        </w:rPr>
        <w:t xml:space="preserve"> </w:t>
      </w:r>
    </w:p>
    <w:p w14:paraId="6676A3FA" w14:textId="46CBE52E" w:rsidR="00842578" w:rsidRDefault="00842578" w:rsidP="00E86863">
      <w:pPr>
        <w:jc w:val="both"/>
        <w:rPr>
          <w:rFonts w:ascii="Times New Roman" w:eastAsia="Times New Roman" w:hAnsi="Times New Roman" w:cs="Times New Roman"/>
          <w:sz w:val="24"/>
          <w:szCs w:val="24"/>
        </w:rPr>
      </w:pPr>
    </w:p>
    <w:p w14:paraId="4CA793DF" w14:textId="77777777" w:rsidR="00ED66DA" w:rsidRDefault="00842578" w:rsidP="00E865E8">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Another influential model</w:t>
      </w:r>
      <w:r w:rsidR="00294A21">
        <w:rPr>
          <w:rFonts w:ascii="Times New Roman" w:eastAsia="Times New Roman" w:hAnsi="Times New Roman" w:cs="Times New Roman"/>
          <w:sz w:val="24"/>
          <w:szCs w:val="24"/>
        </w:rPr>
        <w:t xml:space="preserve"> relevant for understanding student agency is self-authorship. </w:t>
      </w:r>
      <w:r>
        <w:rPr>
          <w:rFonts w:ascii="Times New Roman" w:eastAsia="Times New Roman" w:hAnsi="Times New Roman" w:cs="Times New Roman"/>
          <w:sz w:val="24"/>
          <w:szCs w:val="24"/>
        </w:rPr>
        <w:t xml:space="preserve">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xml:space="preserve"> (2001, 269) defines self-authorship as ‘the internal capacity to define one's beliefs, identity and social relations’. This development of the internal belief system is a foundation for developing identities and relations with others, which in turn are a developmental foundation for advanced learning outcomes (Baxter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xml:space="preserve"> 2007, 69). </w:t>
      </w:r>
      <w:r w:rsidR="00ED66DA">
        <w:rPr>
          <w:rFonts w:ascii="Times New Roman" w:eastAsia="Times New Roman" w:hAnsi="Times New Roman" w:cs="Times New Roman"/>
          <w:sz w:val="24"/>
          <w:szCs w:val="24"/>
        </w:rPr>
        <w:t xml:space="preserve">Another influential theory is </w:t>
      </w:r>
      <w:r w:rsidR="00E865E8">
        <w:rPr>
          <w:rFonts w:ascii="Times New Roman" w:eastAsia="Times New Roman" w:hAnsi="Times New Roman" w:cs="Times New Roman"/>
          <w:sz w:val="24"/>
          <w:szCs w:val="24"/>
        </w:rPr>
        <w:t xml:space="preserve">self-determination theory </w:t>
      </w:r>
      <w:r w:rsidR="00ED66DA">
        <w:rPr>
          <w:rFonts w:ascii="Times New Roman" w:eastAsia="Times New Roman" w:hAnsi="Times New Roman" w:cs="Times New Roman"/>
          <w:sz w:val="24"/>
          <w:szCs w:val="24"/>
        </w:rPr>
        <w:t>which represents</w:t>
      </w:r>
      <w:r w:rsidR="00E865E8">
        <w:rPr>
          <w:rFonts w:ascii="Times New Roman" w:eastAsia="Times New Roman" w:hAnsi="Times New Roman" w:cs="Times New Roman"/>
          <w:sz w:val="24"/>
          <w:szCs w:val="24"/>
        </w:rPr>
        <w:t xml:space="preserve"> a broad </w:t>
      </w:r>
      <w:r w:rsidR="00EB18C3" w:rsidRPr="00EB18C3">
        <w:rPr>
          <w:rFonts w:ascii="Times New Roman" w:eastAsia="Times New Roman" w:hAnsi="Times New Roman" w:cs="Times New Roman"/>
          <w:sz w:val="24"/>
          <w:szCs w:val="24"/>
        </w:rPr>
        <w:t>framework for the study of human motivation and personality</w:t>
      </w:r>
      <w:r w:rsidR="00ED66DA">
        <w:rPr>
          <w:rFonts w:ascii="Times New Roman" w:eastAsia="Times New Roman" w:hAnsi="Times New Roman" w:cs="Times New Roman"/>
          <w:sz w:val="24"/>
          <w:szCs w:val="24"/>
        </w:rPr>
        <w:t xml:space="preserve">. The basic premise of this theory is </w:t>
      </w:r>
      <w:r w:rsidR="00BF3419">
        <w:rPr>
          <w:rFonts w:ascii="Times New Roman" w:eastAsia="Times New Roman" w:hAnsi="Times New Roman" w:cs="Times New Roman"/>
          <w:sz w:val="24"/>
          <w:szCs w:val="24"/>
          <w:highlight w:val="white"/>
        </w:rPr>
        <w:t>that ‘people have basic psychological needs to experience competence, autonomy, and relatedness to others’</w:t>
      </w:r>
      <w:r w:rsidR="008C0732">
        <w:rPr>
          <w:rFonts w:ascii="Times New Roman" w:eastAsia="Times New Roman" w:hAnsi="Times New Roman" w:cs="Times New Roman"/>
          <w:sz w:val="24"/>
          <w:szCs w:val="24"/>
          <w:highlight w:val="white"/>
        </w:rPr>
        <w:t xml:space="preserve"> (Ryan et al 2021, 4)</w:t>
      </w:r>
      <w:r w:rsidR="00BF3419">
        <w:rPr>
          <w:rFonts w:ascii="Times New Roman" w:eastAsia="Times New Roman" w:hAnsi="Times New Roman" w:cs="Times New Roman"/>
          <w:sz w:val="24"/>
          <w:szCs w:val="24"/>
          <w:highlight w:val="white"/>
        </w:rPr>
        <w:t xml:space="preserve">. When these needs are fulfilled people are able to self-determine, that is to organize their experiences and regulate motivation for action (Ryan et al 2021; Deci and Ryan 2017). </w:t>
      </w:r>
    </w:p>
    <w:p w14:paraId="0C7B4500" w14:textId="2BF9B947" w:rsidR="00170769" w:rsidRPr="00E865E8" w:rsidRDefault="005C7244" w:rsidP="00E865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In recent years, the concept of grit has been introduced to highlight the importance of non-cognitive factors for </w:t>
      </w:r>
      <w:r w:rsidR="00ED66DA">
        <w:rPr>
          <w:rFonts w:ascii="Times New Roman" w:eastAsia="Times New Roman" w:hAnsi="Times New Roman" w:cs="Times New Roman"/>
          <w:sz w:val="24"/>
          <w:szCs w:val="24"/>
          <w:highlight w:val="white"/>
        </w:rPr>
        <w:t>personal</w:t>
      </w:r>
      <w:r>
        <w:rPr>
          <w:rFonts w:ascii="Times New Roman" w:eastAsia="Times New Roman" w:hAnsi="Times New Roman" w:cs="Times New Roman"/>
          <w:sz w:val="24"/>
          <w:szCs w:val="24"/>
          <w:highlight w:val="white"/>
        </w:rPr>
        <w:t xml:space="preserve"> achievement (Duckworth et al. 2007). The development of this concept was motivated by the observations </w:t>
      </w:r>
      <w:r w:rsidR="00ED66D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common also to other models</w:t>
      </w:r>
      <w:r w:rsidR="00ED66D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 that </w:t>
      </w:r>
      <w:r w:rsidR="005A3734">
        <w:rPr>
          <w:rFonts w:ascii="Times New Roman" w:eastAsia="Times New Roman" w:hAnsi="Times New Roman" w:cs="Times New Roman"/>
          <w:sz w:val="24"/>
          <w:szCs w:val="24"/>
        </w:rPr>
        <w:t xml:space="preserve">in many cases </w:t>
      </w:r>
      <w:r w:rsidR="005A3734">
        <w:rPr>
          <w:rFonts w:ascii="Times New Roman" w:eastAsia="Times New Roman" w:hAnsi="Times New Roman" w:cs="Times New Roman"/>
          <w:sz w:val="24"/>
          <w:szCs w:val="24"/>
          <w:highlight w:val="white"/>
        </w:rPr>
        <w:t xml:space="preserve">individuals of an equal or lesser IQ were outperforming more intelligent </w:t>
      </w:r>
      <w:r w:rsidR="00ED66DA">
        <w:rPr>
          <w:rFonts w:ascii="Times New Roman" w:eastAsia="Times New Roman" w:hAnsi="Times New Roman" w:cs="Times New Roman"/>
          <w:sz w:val="24"/>
          <w:szCs w:val="24"/>
          <w:highlight w:val="white"/>
        </w:rPr>
        <w:t>individuals</w:t>
      </w:r>
      <w:r w:rsidR="005A3734">
        <w:rPr>
          <w:rFonts w:ascii="Times New Roman" w:eastAsia="Times New Roman" w:hAnsi="Times New Roman" w:cs="Times New Roman"/>
          <w:sz w:val="24"/>
          <w:szCs w:val="24"/>
          <w:highlight w:val="white"/>
        </w:rPr>
        <w:t>, including in education contexts (Duckworth et al. 2007).</w:t>
      </w:r>
      <w:r w:rsidR="00861870">
        <w:rPr>
          <w:rFonts w:ascii="Times New Roman" w:eastAsia="Times New Roman" w:hAnsi="Times New Roman" w:cs="Times New Roman"/>
          <w:sz w:val="24"/>
          <w:szCs w:val="24"/>
        </w:rPr>
        <w:t xml:space="preserve"> </w:t>
      </w:r>
      <w:r w:rsidR="00665109">
        <w:rPr>
          <w:rFonts w:ascii="Times New Roman" w:eastAsia="Times New Roman" w:hAnsi="Times New Roman" w:cs="Times New Roman"/>
          <w:sz w:val="24"/>
          <w:szCs w:val="24"/>
          <w:highlight w:val="white"/>
        </w:rPr>
        <w:t>Duckworth</w:t>
      </w:r>
      <w:r w:rsidR="007D0245">
        <w:rPr>
          <w:rFonts w:ascii="Times New Roman" w:eastAsia="Times New Roman" w:hAnsi="Times New Roman" w:cs="Times New Roman"/>
          <w:sz w:val="24"/>
          <w:szCs w:val="24"/>
          <w:highlight w:val="white"/>
        </w:rPr>
        <w:t xml:space="preserve"> et al</w:t>
      </w:r>
      <w:r w:rsidR="005A3734">
        <w:rPr>
          <w:rFonts w:ascii="Times New Roman" w:eastAsia="Times New Roman" w:hAnsi="Times New Roman" w:cs="Times New Roman"/>
          <w:sz w:val="24"/>
          <w:szCs w:val="24"/>
          <w:highlight w:val="white"/>
        </w:rPr>
        <w:t xml:space="preserve"> (</w:t>
      </w:r>
      <w:r w:rsidR="007D0245">
        <w:rPr>
          <w:rFonts w:ascii="Times New Roman" w:eastAsia="Times New Roman" w:hAnsi="Times New Roman" w:cs="Times New Roman"/>
          <w:sz w:val="24"/>
          <w:szCs w:val="24"/>
          <w:highlight w:val="white"/>
        </w:rPr>
        <w:t>2007, 1087</w:t>
      </w:r>
      <w:r w:rsidR="005A3734">
        <w:rPr>
          <w:rFonts w:ascii="Times New Roman" w:eastAsia="Times New Roman" w:hAnsi="Times New Roman" w:cs="Times New Roman"/>
          <w:sz w:val="24"/>
          <w:szCs w:val="24"/>
          <w:highlight w:val="white"/>
        </w:rPr>
        <w:t xml:space="preserve">) define grit as passion and perseverance, i.e., intensity, direction, and duration of one’s exertions towards long-term goals. The students’ traits and characteristics that define grit, mental wellbeing and resilience figure also in several higher education studies of capabilities associated with student success and academic performance.  </w:t>
      </w:r>
    </w:p>
    <w:p w14:paraId="24A19017" w14:textId="77777777" w:rsidR="005C7244" w:rsidRDefault="005C7244" w:rsidP="005C7244">
      <w:pPr>
        <w:shd w:val="clear" w:color="auto" w:fill="FFFFFF" w:themeFill="background1"/>
        <w:jc w:val="both"/>
        <w:rPr>
          <w:rFonts w:ascii="Times New Roman" w:eastAsia="Times New Roman" w:hAnsi="Times New Roman" w:cs="Times New Roman"/>
          <w:sz w:val="24"/>
          <w:szCs w:val="24"/>
          <w:highlight w:val="white"/>
        </w:rPr>
      </w:pPr>
    </w:p>
    <w:p w14:paraId="1CBD3A56" w14:textId="4AC6112C" w:rsidR="00170769" w:rsidRPr="00D444F4" w:rsidRDefault="00BF3419">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What these models have in common is </w:t>
      </w:r>
      <w:r w:rsidR="005C7244">
        <w:rPr>
          <w:rFonts w:ascii="Times New Roman" w:eastAsia="Times New Roman" w:hAnsi="Times New Roman" w:cs="Times New Roman"/>
          <w:sz w:val="24"/>
          <w:szCs w:val="24"/>
          <w:highlight w:val="white"/>
        </w:rPr>
        <w:t>to suggest that cognitive abilit</w:t>
      </w:r>
      <w:r w:rsidR="007D0245">
        <w:rPr>
          <w:rFonts w:ascii="Times New Roman" w:eastAsia="Times New Roman" w:hAnsi="Times New Roman" w:cs="Times New Roman"/>
          <w:sz w:val="24"/>
          <w:szCs w:val="24"/>
          <w:highlight w:val="white"/>
        </w:rPr>
        <w:t>ies</w:t>
      </w:r>
      <w:r w:rsidR="005C7244">
        <w:rPr>
          <w:rFonts w:ascii="Times New Roman" w:eastAsia="Times New Roman" w:hAnsi="Times New Roman" w:cs="Times New Roman"/>
          <w:sz w:val="24"/>
          <w:szCs w:val="24"/>
          <w:highlight w:val="white"/>
        </w:rPr>
        <w:t xml:space="preserve"> alone </w:t>
      </w:r>
      <w:r w:rsidR="007D0245">
        <w:rPr>
          <w:rFonts w:ascii="Times New Roman" w:eastAsia="Times New Roman" w:hAnsi="Times New Roman" w:cs="Times New Roman"/>
          <w:sz w:val="24"/>
          <w:szCs w:val="24"/>
          <w:highlight w:val="white"/>
        </w:rPr>
        <w:t>are</w:t>
      </w:r>
      <w:r w:rsidR="005C7244">
        <w:rPr>
          <w:rFonts w:ascii="Times New Roman" w:eastAsia="Times New Roman" w:hAnsi="Times New Roman" w:cs="Times New Roman"/>
          <w:sz w:val="24"/>
          <w:szCs w:val="24"/>
          <w:highlight w:val="white"/>
        </w:rPr>
        <w:t xml:space="preserve"> not a good predictor of student academic achievement. Other non-cognitive factors </w:t>
      </w:r>
      <w:r w:rsidR="007D0245">
        <w:rPr>
          <w:rFonts w:ascii="Times New Roman" w:eastAsia="Times New Roman" w:hAnsi="Times New Roman" w:cs="Times New Roman"/>
          <w:sz w:val="24"/>
          <w:szCs w:val="24"/>
          <w:highlight w:val="white"/>
        </w:rPr>
        <w:t>that</w:t>
      </w:r>
      <w:r w:rsidR="005C7244">
        <w:rPr>
          <w:rFonts w:ascii="Times New Roman" w:eastAsia="Times New Roman" w:hAnsi="Times New Roman" w:cs="Times New Roman"/>
          <w:sz w:val="24"/>
          <w:szCs w:val="24"/>
          <w:highlight w:val="white"/>
        </w:rPr>
        <w:t xml:space="preserve"> empower students’ to take control over </w:t>
      </w:r>
      <w:r w:rsidR="00D444F4">
        <w:rPr>
          <w:rFonts w:ascii="Times New Roman" w:eastAsia="Times New Roman" w:hAnsi="Times New Roman" w:cs="Times New Roman"/>
          <w:sz w:val="24"/>
          <w:szCs w:val="24"/>
          <w:highlight w:val="white"/>
        </w:rPr>
        <w:t xml:space="preserve">their learning and education have been shown to play a significant role in students’ achievement. </w:t>
      </w:r>
      <w:r w:rsidRPr="007A2EB9">
        <w:rPr>
          <w:rFonts w:ascii="Times New Roman" w:eastAsia="Times New Roman" w:hAnsi="Times New Roman" w:cs="Times New Roman"/>
          <w:sz w:val="24"/>
          <w:szCs w:val="24"/>
        </w:rPr>
        <w:t>This happens</w:t>
      </w:r>
      <w:r w:rsidR="007D0245">
        <w:rPr>
          <w:rFonts w:ascii="Times New Roman" w:eastAsia="Times New Roman" w:hAnsi="Times New Roman" w:cs="Times New Roman"/>
          <w:sz w:val="24"/>
          <w:szCs w:val="24"/>
        </w:rPr>
        <w:t>,</w:t>
      </w:r>
      <w:r w:rsidRPr="007A2EB9">
        <w:rPr>
          <w:rFonts w:ascii="Times New Roman" w:eastAsia="Times New Roman" w:hAnsi="Times New Roman" w:cs="Times New Roman"/>
          <w:sz w:val="24"/>
          <w:szCs w:val="24"/>
        </w:rPr>
        <w:t xml:space="preserve"> </w:t>
      </w:r>
      <w:r w:rsidR="00C65F96" w:rsidRPr="007A2EB9">
        <w:rPr>
          <w:rFonts w:ascii="Times New Roman" w:eastAsia="Times New Roman" w:hAnsi="Times New Roman" w:cs="Times New Roman"/>
          <w:sz w:val="24"/>
          <w:szCs w:val="24"/>
        </w:rPr>
        <w:t>as Bandura</w:t>
      </w:r>
      <w:r w:rsidR="00D85BEB" w:rsidRPr="007A2EB9">
        <w:rPr>
          <w:rFonts w:ascii="Times New Roman" w:eastAsia="Times New Roman" w:hAnsi="Times New Roman" w:cs="Times New Roman"/>
          <w:sz w:val="24"/>
          <w:szCs w:val="24"/>
        </w:rPr>
        <w:t xml:space="preserve"> (2005, p. 3) suggests</w:t>
      </w:r>
      <w:r w:rsidR="007D0245">
        <w:rPr>
          <w:rFonts w:ascii="Times New Roman" w:eastAsia="Times New Roman" w:hAnsi="Times New Roman" w:cs="Times New Roman"/>
          <w:sz w:val="24"/>
          <w:szCs w:val="24"/>
        </w:rPr>
        <w:t>,</w:t>
      </w:r>
      <w:r w:rsidR="00D85BEB" w:rsidRPr="007A2EB9">
        <w:rPr>
          <w:rFonts w:ascii="Times New Roman" w:eastAsia="Times New Roman" w:hAnsi="Times New Roman" w:cs="Times New Roman"/>
          <w:sz w:val="24"/>
          <w:szCs w:val="24"/>
        </w:rPr>
        <w:t xml:space="preserve"> through intentionality, forethought, self-regulation</w:t>
      </w:r>
      <w:r w:rsidR="00C65F96" w:rsidRPr="007A2EB9">
        <w:rPr>
          <w:rFonts w:ascii="Times New Roman" w:eastAsia="Times New Roman" w:hAnsi="Times New Roman" w:cs="Times New Roman"/>
          <w:sz w:val="24"/>
          <w:szCs w:val="24"/>
        </w:rPr>
        <w:t xml:space="preserve">, </w:t>
      </w:r>
      <w:r w:rsidR="00D85BEB" w:rsidRPr="007A2EB9">
        <w:rPr>
          <w:rFonts w:ascii="Times New Roman" w:eastAsia="Times New Roman" w:hAnsi="Times New Roman" w:cs="Times New Roman"/>
          <w:sz w:val="24"/>
          <w:szCs w:val="24"/>
        </w:rPr>
        <w:t xml:space="preserve">self-awareness </w:t>
      </w:r>
      <w:r w:rsidR="00C65F96" w:rsidRPr="007A2EB9">
        <w:rPr>
          <w:rFonts w:ascii="Times New Roman" w:eastAsia="Times New Roman" w:hAnsi="Times New Roman" w:cs="Times New Roman"/>
          <w:sz w:val="24"/>
          <w:szCs w:val="24"/>
        </w:rPr>
        <w:t>and sense</w:t>
      </w:r>
      <w:r w:rsidR="00D444F4">
        <w:rPr>
          <w:rFonts w:ascii="Times New Roman" w:eastAsia="Times New Roman" w:hAnsi="Times New Roman" w:cs="Times New Roman"/>
          <w:sz w:val="24"/>
          <w:szCs w:val="24"/>
        </w:rPr>
        <w:t xml:space="preserve"> </w:t>
      </w:r>
      <w:r w:rsidR="00C65F96" w:rsidRPr="007A2EB9">
        <w:rPr>
          <w:rFonts w:ascii="Times New Roman" w:eastAsia="Times New Roman" w:hAnsi="Times New Roman" w:cs="Times New Roman"/>
          <w:sz w:val="24"/>
          <w:szCs w:val="24"/>
        </w:rPr>
        <w:t xml:space="preserve">of </w:t>
      </w:r>
      <w:r w:rsidRPr="007A2EB9">
        <w:rPr>
          <w:rFonts w:ascii="Times New Roman" w:eastAsia="Times New Roman" w:hAnsi="Times New Roman" w:cs="Times New Roman"/>
          <w:sz w:val="24"/>
          <w:szCs w:val="24"/>
        </w:rPr>
        <w:t xml:space="preserve">self-efficacy. </w:t>
      </w:r>
      <w:r w:rsidR="00D444F4">
        <w:rPr>
          <w:rFonts w:ascii="Times New Roman" w:eastAsia="Times New Roman" w:hAnsi="Times New Roman" w:cs="Times New Roman"/>
          <w:sz w:val="24"/>
          <w:szCs w:val="24"/>
        </w:rPr>
        <w:t>I refer to these “non-cognitive factors” as students’ capabilities to navigate and influence their learning and education pathways and environments</w:t>
      </w:r>
      <w:r w:rsidR="007D0245">
        <w:rPr>
          <w:rFonts w:ascii="Times New Roman" w:eastAsia="Times New Roman" w:hAnsi="Times New Roman" w:cs="Times New Roman"/>
          <w:sz w:val="24"/>
          <w:szCs w:val="24"/>
        </w:rPr>
        <w:t xml:space="preserve">. </w:t>
      </w:r>
      <w:r w:rsidR="007D0245">
        <w:rPr>
          <w:rFonts w:ascii="Times New Roman" w:eastAsia="Times New Roman" w:hAnsi="Times New Roman" w:cs="Times New Roman"/>
          <w:sz w:val="24"/>
          <w:szCs w:val="24"/>
          <w:highlight w:val="white"/>
        </w:rPr>
        <w:t>This chapter proposes that these capabilities are distinct, but related, features of student agency.</w:t>
      </w:r>
      <w:r w:rsidR="00D444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These capabilities </w:t>
      </w:r>
      <w:r w:rsidR="00D444F4">
        <w:rPr>
          <w:rFonts w:ascii="Times New Roman" w:eastAsia="Times New Roman" w:hAnsi="Times New Roman" w:cs="Times New Roman"/>
          <w:sz w:val="24"/>
          <w:szCs w:val="24"/>
          <w:highlight w:val="white"/>
        </w:rPr>
        <w:t>affect</w:t>
      </w:r>
      <w:r>
        <w:rPr>
          <w:rFonts w:ascii="Times New Roman" w:eastAsia="Times New Roman" w:hAnsi="Times New Roman" w:cs="Times New Roman"/>
          <w:sz w:val="24"/>
          <w:szCs w:val="24"/>
          <w:highlight w:val="white"/>
        </w:rPr>
        <w:t xml:space="preserve"> the quality of interactions and engagements students have with various educationally purposeful activities, which in turn </w:t>
      </w:r>
      <w:r w:rsidR="00D444F4">
        <w:rPr>
          <w:rFonts w:ascii="Times New Roman" w:eastAsia="Times New Roman" w:hAnsi="Times New Roman" w:cs="Times New Roman"/>
          <w:sz w:val="24"/>
          <w:szCs w:val="24"/>
          <w:highlight w:val="white"/>
        </w:rPr>
        <w:t>affect their experiences in higher education and</w:t>
      </w:r>
      <w:r>
        <w:rPr>
          <w:rFonts w:ascii="Times New Roman" w:eastAsia="Times New Roman" w:hAnsi="Times New Roman" w:cs="Times New Roman"/>
          <w:sz w:val="24"/>
          <w:szCs w:val="24"/>
          <w:highlight w:val="white"/>
        </w:rPr>
        <w:t xml:space="preserve"> their educational outcomes. Despite existing research and instruments to measure these different capabilities</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there exists no comprehensive theoretical framework that would connect these different capabilities of student agency with student engagement and ultimately student experiences, pathways, and outcomes in higher education. </w:t>
      </w:r>
      <w:r w:rsidR="00D444F4">
        <w:rPr>
          <w:rFonts w:ascii="Times New Roman" w:eastAsia="Times New Roman" w:hAnsi="Times New Roman" w:cs="Times New Roman"/>
          <w:sz w:val="24"/>
          <w:szCs w:val="24"/>
        </w:rPr>
        <w:t xml:space="preserve">This is what the theory of student agency aims to do. </w:t>
      </w:r>
    </w:p>
    <w:p w14:paraId="2273C232" w14:textId="77777777" w:rsidR="00170769" w:rsidRDefault="00BF3419">
      <w:pPr>
        <w:pStyle w:val="Heading2"/>
        <w:jc w:val="both"/>
        <w:rPr>
          <w:rFonts w:ascii="Times New Roman" w:eastAsia="Times New Roman" w:hAnsi="Times New Roman" w:cs="Times New Roman"/>
          <w:sz w:val="24"/>
          <w:szCs w:val="24"/>
          <w:highlight w:val="white"/>
        </w:rPr>
      </w:pPr>
      <w:bookmarkStart w:id="7" w:name="_mggxmr90brkp" w:colFirst="0" w:colLast="0"/>
      <w:bookmarkEnd w:id="7"/>
      <w:r>
        <w:t>Literature on student agency</w:t>
      </w:r>
    </w:p>
    <w:p w14:paraId="6F41CC22" w14:textId="44BEBAFB" w:rsidR="00170769" w:rsidRDefault="00BF3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Scholars tend to agree that higher education research lacks a comprehensive theory of agency, and especially a well-developed theory of the interplay between structure and agency (Ashwin 2009;</w:t>
      </w:r>
      <w:r w:rsidR="000B4414">
        <w:rPr>
          <w:rFonts w:ascii="Times New Roman" w:eastAsia="Times New Roman" w:hAnsi="Times New Roman" w:cs="Times New Roman"/>
          <w:sz w:val="24"/>
          <w:szCs w:val="24"/>
        </w:rPr>
        <w:t xml:space="preserve"> </w:t>
      </w:r>
      <w:proofErr w:type="spellStart"/>
      <w:r w:rsidRPr="007D0245">
        <w:rPr>
          <w:rFonts w:ascii="Times New Roman" w:eastAsia="Times New Roman" w:hAnsi="Times New Roman" w:cs="Times New Roman"/>
          <w:sz w:val="24"/>
          <w:szCs w:val="24"/>
        </w:rPr>
        <w:t>Gumport</w:t>
      </w:r>
      <w:proofErr w:type="spellEnd"/>
      <w:r w:rsidRPr="007D0245">
        <w:rPr>
          <w:rFonts w:ascii="Times New Roman" w:eastAsia="Times New Roman" w:hAnsi="Times New Roman" w:cs="Times New Roman"/>
          <w:sz w:val="24"/>
          <w:szCs w:val="24"/>
        </w:rPr>
        <w:t xml:space="preserve"> 2012). Research on colleges and universities as organizations is mostly concerned with organizational structures determining human agency (</w:t>
      </w:r>
      <w:proofErr w:type="spellStart"/>
      <w:r w:rsidRPr="007D0245">
        <w:rPr>
          <w:rFonts w:ascii="Times New Roman" w:eastAsia="Times New Roman" w:hAnsi="Times New Roman" w:cs="Times New Roman"/>
          <w:sz w:val="24"/>
          <w:szCs w:val="24"/>
        </w:rPr>
        <w:t>Gumport</w:t>
      </w:r>
      <w:proofErr w:type="spellEnd"/>
      <w:r w:rsidRPr="007D0245">
        <w:rPr>
          <w:rFonts w:ascii="Times New Roman" w:eastAsia="Times New Roman" w:hAnsi="Times New Roman" w:cs="Times New Roman"/>
          <w:sz w:val="24"/>
          <w:szCs w:val="24"/>
        </w:rPr>
        <w:t xml:space="preserve"> 2012)</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However, there is exciting new research on student agency emerging. </w:t>
      </w:r>
      <w:proofErr w:type="spellStart"/>
      <w:r>
        <w:rPr>
          <w:rFonts w:ascii="Times New Roman" w:eastAsia="Times New Roman" w:hAnsi="Times New Roman" w:cs="Times New Roman"/>
          <w:sz w:val="24"/>
          <w:szCs w:val="24"/>
        </w:rPr>
        <w:t>Stenalt</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Lassesen</w:t>
      </w:r>
      <w:proofErr w:type="spellEnd"/>
      <w:r>
        <w:rPr>
          <w:rFonts w:ascii="Times New Roman" w:eastAsia="Times New Roman" w:hAnsi="Times New Roman" w:cs="Times New Roman"/>
          <w:sz w:val="24"/>
          <w:szCs w:val="24"/>
        </w:rPr>
        <w:t xml:space="preserve"> (2021) </w:t>
      </w:r>
      <w:r w:rsidR="00D85BEB">
        <w:rPr>
          <w:rFonts w:ascii="Times New Roman" w:eastAsia="Times New Roman" w:hAnsi="Times New Roman" w:cs="Times New Roman"/>
          <w:sz w:val="24"/>
          <w:szCs w:val="24"/>
        </w:rPr>
        <w:t>offer</w:t>
      </w:r>
      <w:r>
        <w:rPr>
          <w:rFonts w:ascii="Times New Roman" w:eastAsia="Times New Roman" w:hAnsi="Times New Roman" w:cs="Times New Roman"/>
          <w:sz w:val="24"/>
          <w:szCs w:val="24"/>
        </w:rPr>
        <w:t xml:space="preserve"> a timely systematic review of higher education research on student agency and its relations to students’ learning. Most of the research </w:t>
      </w:r>
      <w:r w:rsidR="00A4073B">
        <w:rPr>
          <w:rFonts w:ascii="Times New Roman" w:eastAsia="Times New Roman" w:hAnsi="Times New Roman" w:cs="Times New Roman"/>
          <w:sz w:val="24"/>
          <w:szCs w:val="24"/>
        </w:rPr>
        <w:t xml:space="preserve">explores </w:t>
      </w:r>
      <w:r>
        <w:rPr>
          <w:rFonts w:ascii="Times New Roman" w:eastAsia="Times New Roman" w:hAnsi="Times New Roman" w:cs="Times New Roman"/>
          <w:sz w:val="24"/>
          <w:szCs w:val="24"/>
        </w:rPr>
        <w:t xml:space="preserve">relations between student agency and individual student outcomes, but studies exploring the relationship between agency and societal outcomes </w:t>
      </w:r>
      <w:r w:rsidR="00A4073B">
        <w:rPr>
          <w:rFonts w:ascii="Times New Roman" w:eastAsia="Times New Roman" w:hAnsi="Times New Roman" w:cs="Times New Roman"/>
          <w:sz w:val="24"/>
          <w:szCs w:val="24"/>
        </w:rPr>
        <w:t>are underdeveloped</w:t>
      </w:r>
      <w:r>
        <w:rPr>
          <w:rFonts w:ascii="Times New Roman" w:eastAsia="Times New Roman" w:hAnsi="Times New Roman" w:cs="Times New Roman"/>
          <w:sz w:val="24"/>
          <w:szCs w:val="24"/>
        </w:rPr>
        <w:t xml:space="preserve"> (ibid.). </w:t>
      </w:r>
      <w:r w:rsidR="001D12BB">
        <w:rPr>
          <w:rFonts w:ascii="Times New Roman" w:eastAsia="Times New Roman" w:hAnsi="Times New Roman" w:cs="Times New Roman"/>
          <w:sz w:val="24"/>
          <w:szCs w:val="24"/>
        </w:rPr>
        <w:t xml:space="preserve">Much of this literature draws on the classical social science research on agency-structure and human action (Giddens 1984; Archer 1995, 2000, 2003; Bandura 1986, 2001; </w:t>
      </w:r>
      <w:proofErr w:type="spellStart"/>
      <w:r w:rsidR="001D12BB">
        <w:rPr>
          <w:rFonts w:ascii="Times New Roman" w:eastAsia="Times New Roman" w:hAnsi="Times New Roman" w:cs="Times New Roman"/>
          <w:sz w:val="24"/>
          <w:szCs w:val="24"/>
        </w:rPr>
        <w:t>Emirbayer</w:t>
      </w:r>
      <w:proofErr w:type="spellEnd"/>
      <w:r w:rsidR="001D12BB">
        <w:rPr>
          <w:rFonts w:ascii="Times New Roman" w:eastAsia="Times New Roman" w:hAnsi="Times New Roman" w:cs="Times New Roman"/>
          <w:sz w:val="24"/>
          <w:szCs w:val="24"/>
        </w:rPr>
        <w:t xml:space="preserve"> &amp; </w:t>
      </w:r>
      <w:proofErr w:type="spellStart"/>
      <w:r w:rsidR="001D12BB">
        <w:rPr>
          <w:rFonts w:ascii="Times New Roman" w:eastAsia="Times New Roman" w:hAnsi="Times New Roman" w:cs="Times New Roman"/>
          <w:sz w:val="24"/>
          <w:szCs w:val="24"/>
        </w:rPr>
        <w:t>Mische</w:t>
      </w:r>
      <w:proofErr w:type="spellEnd"/>
      <w:r w:rsidR="001D12BB">
        <w:rPr>
          <w:rFonts w:ascii="Times New Roman" w:eastAsia="Times New Roman" w:hAnsi="Times New Roman" w:cs="Times New Roman"/>
          <w:sz w:val="24"/>
          <w:szCs w:val="24"/>
        </w:rPr>
        <w:t xml:space="preserve"> 1998; Bourdieu 1998). Some student agency research has also been inspired by the “capabilities approach” introduced by Sen (1985, 1992, 1999, 2009) and further developed by Nussbaum (2005a, b, 2006, 2010, 2011).</w:t>
      </w:r>
    </w:p>
    <w:p w14:paraId="4A411E60" w14:textId="77777777" w:rsidR="00170769" w:rsidRDefault="00170769">
      <w:pPr>
        <w:jc w:val="both"/>
        <w:rPr>
          <w:rFonts w:ascii="Times New Roman" w:eastAsia="Times New Roman" w:hAnsi="Times New Roman" w:cs="Times New Roman"/>
          <w:sz w:val="24"/>
          <w:szCs w:val="24"/>
        </w:rPr>
      </w:pPr>
    </w:p>
    <w:p w14:paraId="5195E03F" w14:textId="36C0599F"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Notable research by educational researchers</w:t>
      </w:r>
      <w:r w:rsidR="00A4073B">
        <w:rPr>
          <w:rFonts w:ascii="Times New Roman" w:eastAsia="Times New Roman" w:hAnsi="Times New Roman" w:cs="Times New Roman"/>
          <w:sz w:val="24"/>
          <w:szCs w:val="24"/>
        </w:rPr>
        <w:t xml:space="preserve"> covers </w:t>
      </w:r>
      <w:r>
        <w:rPr>
          <w:rFonts w:ascii="Times New Roman" w:eastAsia="Times New Roman" w:hAnsi="Times New Roman" w:cs="Times New Roman"/>
          <w:sz w:val="24"/>
          <w:szCs w:val="24"/>
        </w:rPr>
        <w:t xml:space="preserve">student agency </w:t>
      </w:r>
      <w:r w:rsidR="00665109">
        <w:rPr>
          <w:rFonts w:ascii="Times New Roman" w:eastAsia="Times New Roman" w:hAnsi="Times New Roman" w:cs="Times New Roman"/>
          <w:sz w:val="24"/>
          <w:szCs w:val="24"/>
        </w:rPr>
        <w:t>as part of</w:t>
      </w:r>
      <w:r>
        <w:rPr>
          <w:rFonts w:ascii="Times New Roman" w:eastAsia="Times New Roman" w:hAnsi="Times New Roman" w:cs="Times New Roman"/>
          <w:sz w:val="24"/>
          <w:szCs w:val="24"/>
        </w:rPr>
        <w:t xml:space="preserve"> learning analytics</w:t>
      </w:r>
      <w:r w:rsidR="00665109">
        <w:rPr>
          <w:rFonts w:ascii="Times New Roman" w:eastAsia="Times New Roman" w:hAnsi="Times New Roman" w:cs="Times New Roman"/>
          <w:sz w:val="24"/>
          <w:szCs w:val="24"/>
        </w:rPr>
        <w:t xml:space="preserve"> research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Jääskelä</w:t>
      </w:r>
      <w:proofErr w:type="spellEnd"/>
      <w:r>
        <w:rPr>
          <w:rFonts w:ascii="Times New Roman" w:eastAsia="Times New Roman" w:hAnsi="Times New Roman" w:cs="Times New Roman"/>
          <w:sz w:val="24"/>
          <w:szCs w:val="24"/>
        </w:rPr>
        <w:t xml:space="preserve"> et al 2020a,b; </w:t>
      </w:r>
      <w:proofErr w:type="spellStart"/>
      <w:r>
        <w:rPr>
          <w:rFonts w:ascii="Times New Roman" w:eastAsia="Times New Roman" w:hAnsi="Times New Roman" w:cs="Times New Roman"/>
          <w:sz w:val="24"/>
          <w:szCs w:val="24"/>
        </w:rPr>
        <w:t>Jääskelä</w:t>
      </w:r>
      <w:proofErr w:type="spellEnd"/>
      <w:r>
        <w:rPr>
          <w:rFonts w:ascii="Times New Roman" w:eastAsia="Times New Roman" w:hAnsi="Times New Roman" w:cs="Times New Roman"/>
          <w:sz w:val="24"/>
          <w:szCs w:val="24"/>
        </w:rPr>
        <w:t xml:space="preserve"> et al 2017; </w:t>
      </w:r>
      <w:proofErr w:type="spellStart"/>
      <w:r>
        <w:rPr>
          <w:rFonts w:ascii="Times New Roman" w:eastAsia="Times New Roman" w:hAnsi="Times New Roman" w:cs="Times New Roman"/>
          <w:sz w:val="24"/>
          <w:szCs w:val="24"/>
        </w:rPr>
        <w:t>Heilala</w:t>
      </w:r>
      <w:proofErr w:type="spellEnd"/>
      <w:r>
        <w:rPr>
          <w:rFonts w:ascii="Times New Roman" w:eastAsia="Times New Roman" w:hAnsi="Times New Roman" w:cs="Times New Roman"/>
          <w:sz w:val="24"/>
          <w:szCs w:val="24"/>
        </w:rPr>
        <w:t xml:space="preserve"> et al 2020a,b; Luo et al 2019; </w:t>
      </w:r>
      <w:proofErr w:type="spellStart"/>
      <w:r>
        <w:rPr>
          <w:rFonts w:ascii="Times New Roman" w:eastAsia="Times New Roman" w:hAnsi="Times New Roman" w:cs="Times New Roman"/>
          <w:sz w:val="24"/>
          <w:szCs w:val="24"/>
        </w:rPr>
        <w:t>Liponen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Kumpolainen</w:t>
      </w:r>
      <w:proofErr w:type="spellEnd"/>
      <w:r>
        <w:rPr>
          <w:rFonts w:ascii="Times New Roman" w:eastAsia="Times New Roman" w:hAnsi="Times New Roman" w:cs="Times New Roman"/>
          <w:sz w:val="24"/>
          <w:szCs w:val="24"/>
        </w:rPr>
        <w:t xml:space="preserve"> 2011)</w:t>
      </w:r>
      <w:r w:rsidR="00A4073B">
        <w:rPr>
          <w:rFonts w:ascii="Times New Roman" w:eastAsia="Times New Roman" w:hAnsi="Times New Roman" w:cs="Times New Roman"/>
          <w:sz w:val="24"/>
          <w:szCs w:val="24"/>
        </w:rPr>
        <w:t xml:space="preserve">. </w:t>
      </w:r>
      <w:r w:rsidR="004B2B52">
        <w:rPr>
          <w:rFonts w:ascii="Times New Roman" w:eastAsia="Times New Roman" w:hAnsi="Times New Roman" w:cs="Times New Roman"/>
          <w:sz w:val="24"/>
          <w:szCs w:val="24"/>
          <w:highlight w:val="white"/>
        </w:rPr>
        <w:t xml:space="preserve">At Finnish Institute for Educational Research at University of </w:t>
      </w:r>
      <w:proofErr w:type="spellStart"/>
      <w:r w:rsidR="004B2B52">
        <w:rPr>
          <w:rFonts w:ascii="Times New Roman" w:eastAsia="Times New Roman" w:hAnsi="Times New Roman" w:cs="Times New Roman"/>
          <w:sz w:val="24"/>
          <w:szCs w:val="24"/>
          <w:highlight w:val="white"/>
        </w:rPr>
        <w:t>Jyväskylä</w:t>
      </w:r>
      <w:proofErr w:type="spellEnd"/>
      <w:r w:rsidR="004B2B52">
        <w:rPr>
          <w:rFonts w:ascii="Times New Roman" w:eastAsia="Times New Roman" w:hAnsi="Times New Roman" w:cs="Times New Roman"/>
          <w:sz w:val="24"/>
          <w:szCs w:val="24"/>
          <w:highlight w:val="white"/>
        </w:rPr>
        <w:t xml:space="preserve">, researchers have developed the Agency of University Students (AUS) Scale as part of a learning analytics research agenda to offer </w:t>
      </w:r>
      <w:r w:rsidR="003445C4">
        <w:rPr>
          <w:rFonts w:ascii="Times New Roman" w:eastAsia="Times New Roman" w:hAnsi="Times New Roman" w:cs="Times New Roman"/>
          <w:sz w:val="24"/>
          <w:szCs w:val="24"/>
          <w:highlight w:val="white"/>
        </w:rPr>
        <w:t>‘</w:t>
      </w:r>
      <w:r w:rsidR="004B2B52">
        <w:rPr>
          <w:rFonts w:ascii="Times New Roman" w:eastAsia="Times New Roman" w:hAnsi="Times New Roman" w:cs="Times New Roman"/>
          <w:sz w:val="24"/>
          <w:szCs w:val="24"/>
          <w:highlight w:val="white"/>
        </w:rPr>
        <w:t>a novel methodological contributions by examining individual, relational and participatory resources of agency in the course context</w:t>
      </w:r>
      <w:r w:rsidR="003445C4">
        <w:rPr>
          <w:rFonts w:ascii="Times New Roman" w:eastAsia="Times New Roman" w:hAnsi="Times New Roman" w:cs="Times New Roman"/>
          <w:sz w:val="24"/>
          <w:szCs w:val="24"/>
          <w:highlight w:val="white"/>
        </w:rPr>
        <w:t>’</w:t>
      </w:r>
      <w:r w:rsidR="004B2B52">
        <w:rPr>
          <w:rFonts w:ascii="Times New Roman" w:eastAsia="Times New Roman" w:hAnsi="Times New Roman" w:cs="Times New Roman"/>
          <w:sz w:val="24"/>
          <w:szCs w:val="24"/>
          <w:highlight w:val="white"/>
        </w:rPr>
        <w:t xml:space="preserve"> (</w:t>
      </w:r>
      <w:proofErr w:type="spellStart"/>
      <w:r w:rsidR="004B2B52">
        <w:rPr>
          <w:rFonts w:ascii="Times New Roman" w:eastAsia="Times New Roman" w:hAnsi="Times New Roman" w:cs="Times New Roman"/>
          <w:sz w:val="24"/>
          <w:szCs w:val="24"/>
          <w:highlight w:val="white"/>
        </w:rPr>
        <w:t>Jääskelä</w:t>
      </w:r>
      <w:proofErr w:type="spellEnd"/>
      <w:r w:rsidR="004B2B52">
        <w:rPr>
          <w:rFonts w:ascii="Times New Roman" w:eastAsia="Times New Roman" w:hAnsi="Times New Roman" w:cs="Times New Roman"/>
          <w:sz w:val="24"/>
          <w:szCs w:val="24"/>
          <w:highlight w:val="white"/>
        </w:rPr>
        <w:t xml:space="preserve"> et al 2020a: 2; </w:t>
      </w:r>
      <w:proofErr w:type="spellStart"/>
      <w:r w:rsidR="004B2B52">
        <w:rPr>
          <w:rFonts w:ascii="Times New Roman" w:eastAsia="Times New Roman" w:hAnsi="Times New Roman" w:cs="Times New Roman"/>
          <w:sz w:val="24"/>
          <w:szCs w:val="24"/>
          <w:highlight w:val="white"/>
        </w:rPr>
        <w:t>Jääskelä</w:t>
      </w:r>
      <w:proofErr w:type="spellEnd"/>
      <w:r w:rsidR="004B2B52">
        <w:rPr>
          <w:rFonts w:ascii="Times New Roman" w:eastAsia="Times New Roman" w:hAnsi="Times New Roman" w:cs="Times New Roman"/>
          <w:sz w:val="24"/>
          <w:szCs w:val="24"/>
          <w:highlight w:val="white"/>
        </w:rPr>
        <w:t xml:space="preserve"> et al 2016). </w:t>
      </w:r>
      <w:r w:rsidR="00A4073B">
        <w:rPr>
          <w:rFonts w:ascii="Times New Roman" w:eastAsia="Times New Roman" w:hAnsi="Times New Roman" w:cs="Times New Roman"/>
          <w:sz w:val="24"/>
          <w:szCs w:val="24"/>
        </w:rPr>
        <w:t>Furthermore,</w:t>
      </w:r>
      <w:r>
        <w:rPr>
          <w:rFonts w:ascii="Times New Roman" w:eastAsia="Times New Roman" w:hAnsi="Times New Roman" w:cs="Times New Roman"/>
          <w:sz w:val="24"/>
          <w:szCs w:val="24"/>
        </w:rPr>
        <w:t xml:space="preserve"> educational researchers and sociologists </w:t>
      </w:r>
      <w:r w:rsidR="00A4073B">
        <w:rPr>
          <w:rFonts w:ascii="Times New Roman" w:eastAsia="Times New Roman" w:hAnsi="Times New Roman" w:cs="Times New Roman"/>
          <w:sz w:val="24"/>
          <w:szCs w:val="24"/>
        </w:rPr>
        <w:t xml:space="preserve">explore </w:t>
      </w:r>
      <w:r>
        <w:rPr>
          <w:rFonts w:ascii="Times New Roman" w:eastAsia="Times New Roman" w:hAnsi="Times New Roman" w:cs="Times New Roman"/>
          <w:sz w:val="24"/>
          <w:szCs w:val="24"/>
        </w:rPr>
        <w:t xml:space="preserve">student agency in the context of students’ transformative engagement with knowledge (Ashwin </w:t>
      </w:r>
      <w:r w:rsidR="00665109">
        <w:rPr>
          <w:rFonts w:ascii="Times New Roman" w:eastAsia="Times New Roman" w:hAnsi="Times New Roman" w:cs="Times New Roman"/>
          <w:sz w:val="24"/>
          <w:szCs w:val="24"/>
        </w:rPr>
        <w:t>2020</w:t>
      </w:r>
      <w:r>
        <w:rPr>
          <w:rFonts w:ascii="Times New Roman" w:eastAsia="Times New Roman" w:hAnsi="Times New Roman" w:cs="Times New Roman"/>
          <w:sz w:val="24"/>
          <w:szCs w:val="24"/>
        </w:rPr>
        <w:t>; Ashwin et al 2014</w:t>
      </w:r>
      <w:r w:rsidR="004B2B52">
        <w:rPr>
          <w:rFonts w:ascii="Times New Roman" w:eastAsia="Times New Roman" w:hAnsi="Times New Roman" w:cs="Times New Roman"/>
          <w:sz w:val="24"/>
          <w:szCs w:val="24"/>
        </w:rPr>
        <w:t xml:space="preserve">; </w:t>
      </w:r>
      <w:r w:rsidR="003445C4">
        <w:rPr>
          <w:rFonts w:ascii="Times New Roman" w:eastAsia="Times New Roman" w:hAnsi="Times New Roman" w:cs="Times New Roman"/>
          <w:sz w:val="24"/>
          <w:szCs w:val="24"/>
        </w:rPr>
        <w:t xml:space="preserve">Ashwin 2009; </w:t>
      </w:r>
      <w:r w:rsidR="004B2B52">
        <w:rPr>
          <w:rFonts w:ascii="Times New Roman" w:eastAsia="Times New Roman" w:hAnsi="Times New Roman" w:cs="Times New Roman"/>
          <w:sz w:val="24"/>
          <w:szCs w:val="24"/>
        </w:rPr>
        <w:t>Klemenčič 2020</w:t>
      </w:r>
      <w:r>
        <w:rPr>
          <w:rFonts w:ascii="Times New Roman" w:eastAsia="Times New Roman" w:hAnsi="Times New Roman" w:cs="Times New Roman"/>
          <w:sz w:val="24"/>
          <w:szCs w:val="24"/>
        </w:rPr>
        <w:t>)</w:t>
      </w:r>
      <w:r w:rsidR="00A4073B">
        <w:rPr>
          <w:rFonts w:ascii="Times New Roman" w:eastAsia="Times New Roman" w:hAnsi="Times New Roman" w:cs="Times New Roman"/>
          <w:sz w:val="24"/>
          <w:szCs w:val="24"/>
        </w:rPr>
        <w:t xml:space="preserve">. </w:t>
      </w:r>
      <w:r w:rsidR="003445C4">
        <w:rPr>
          <w:rFonts w:ascii="Times New Roman" w:eastAsia="Times New Roman" w:hAnsi="Times New Roman" w:cs="Times New Roman"/>
          <w:sz w:val="24"/>
          <w:szCs w:val="24"/>
        </w:rPr>
        <w:t>Inspired by</w:t>
      </w:r>
      <w:r>
        <w:rPr>
          <w:rFonts w:ascii="Times New Roman" w:eastAsia="Times New Roman" w:hAnsi="Times New Roman" w:cs="Times New Roman"/>
          <w:sz w:val="24"/>
          <w:szCs w:val="24"/>
        </w:rPr>
        <w:t xml:space="preserve"> Simon </w:t>
      </w:r>
      <w:proofErr w:type="spellStart"/>
      <w:r>
        <w:rPr>
          <w:rFonts w:ascii="Times New Roman" w:eastAsia="Times New Roman" w:hAnsi="Times New Roman" w:cs="Times New Roman"/>
          <w:sz w:val="24"/>
          <w:szCs w:val="24"/>
        </w:rPr>
        <w:t>Marginson’s</w:t>
      </w:r>
      <w:proofErr w:type="spellEnd"/>
      <w:r w:rsidR="003445C4">
        <w:rPr>
          <w:rFonts w:ascii="Times New Roman" w:eastAsia="Times New Roman" w:hAnsi="Times New Roman" w:cs="Times New Roman"/>
          <w:sz w:val="24"/>
          <w:szCs w:val="24"/>
        </w:rPr>
        <w:t xml:space="preserve"> work</w:t>
      </w:r>
      <w:r>
        <w:rPr>
          <w:rFonts w:ascii="Times New Roman" w:eastAsia="Times New Roman" w:hAnsi="Times New Roman" w:cs="Times New Roman"/>
          <w:sz w:val="24"/>
          <w:szCs w:val="24"/>
        </w:rPr>
        <w:t xml:space="preserve"> (2014, 2018, forthcoming) </w:t>
      </w:r>
      <w:r w:rsidR="003445C4">
        <w:rPr>
          <w:rFonts w:ascii="Times New Roman" w:eastAsia="Times New Roman" w:hAnsi="Times New Roman" w:cs="Times New Roman"/>
          <w:sz w:val="24"/>
          <w:szCs w:val="24"/>
        </w:rPr>
        <w:t>and under his guidance</w:t>
      </w:r>
      <w:r>
        <w:rPr>
          <w:rFonts w:ascii="Times New Roman" w:eastAsia="Times New Roman" w:hAnsi="Times New Roman" w:cs="Times New Roman"/>
          <w:sz w:val="24"/>
          <w:szCs w:val="24"/>
        </w:rPr>
        <w:t xml:space="preserve">, several researchers </w:t>
      </w:r>
      <w:r w:rsidR="004B2B52">
        <w:rPr>
          <w:rFonts w:ascii="Times New Roman" w:eastAsia="Times New Roman" w:hAnsi="Times New Roman" w:cs="Times New Roman"/>
          <w:sz w:val="24"/>
          <w:szCs w:val="24"/>
        </w:rPr>
        <w:t>explor</w:t>
      </w:r>
      <w:r w:rsidR="00665109">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00665109">
        <w:rPr>
          <w:rFonts w:ascii="Times New Roman" w:eastAsia="Times New Roman" w:hAnsi="Times New Roman" w:cs="Times New Roman"/>
          <w:sz w:val="24"/>
          <w:szCs w:val="24"/>
        </w:rPr>
        <w:t>the concept of “</w:t>
      </w:r>
      <w:r>
        <w:rPr>
          <w:rFonts w:ascii="Times New Roman" w:eastAsia="Times New Roman" w:hAnsi="Times New Roman" w:cs="Times New Roman"/>
          <w:sz w:val="24"/>
          <w:szCs w:val="24"/>
        </w:rPr>
        <w:t>higher education as self-formation</w:t>
      </w:r>
      <w:r w:rsidR="006651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65109">
        <w:rPr>
          <w:rFonts w:ascii="Times New Roman" w:eastAsia="Times New Roman" w:hAnsi="Times New Roman" w:cs="Times New Roman"/>
          <w:sz w:val="24"/>
          <w:szCs w:val="24"/>
        </w:rPr>
        <w:t>including</w:t>
      </w:r>
      <w:r>
        <w:rPr>
          <w:rFonts w:ascii="Times New Roman" w:eastAsia="Times New Roman" w:hAnsi="Times New Roman" w:cs="Times New Roman"/>
          <w:sz w:val="24"/>
          <w:szCs w:val="24"/>
        </w:rPr>
        <w:t xml:space="preserve"> students' reflexive agency in academic self-formation </w:t>
      </w:r>
      <w:r>
        <w:rPr>
          <w:rFonts w:ascii="Times New Roman" w:eastAsia="Times New Roman" w:hAnsi="Times New Roman" w:cs="Times New Roman"/>
          <w:sz w:val="24"/>
          <w:szCs w:val="24"/>
          <w:highlight w:val="white"/>
        </w:rPr>
        <w:t>(Lee 2021), and students’ employability agency</w:t>
      </w:r>
      <w:r w:rsidR="004B6A1D">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(Pham 2021). </w:t>
      </w:r>
    </w:p>
    <w:p w14:paraId="55129F60" w14:textId="77777777" w:rsidR="00170769" w:rsidRDefault="00170769">
      <w:pPr>
        <w:jc w:val="both"/>
        <w:rPr>
          <w:rFonts w:ascii="Times New Roman" w:eastAsia="Times New Roman" w:hAnsi="Times New Roman" w:cs="Times New Roman"/>
          <w:sz w:val="24"/>
          <w:szCs w:val="24"/>
          <w:highlight w:val="white"/>
        </w:rPr>
      </w:pPr>
    </w:p>
    <w:p w14:paraId="4678FDD7" w14:textId="785AE58D" w:rsidR="00170769" w:rsidRDefault="004B6A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w:t>
      </w:r>
      <w:r w:rsidR="004B2B52">
        <w:rPr>
          <w:rFonts w:ascii="Times New Roman" w:eastAsia="Times New Roman" w:hAnsi="Times New Roman" w:cs="Times New Roman"/>
          <w:sz w:val="24"/>
          <w:szCs w:val="24"/>
        </w:rPr>
        <w:t>here exists</w:t>
      </w:r>
      <w:r w:rsidR="00BF3419">
        <w:rPr>
          <w:rFonts w:ascii="Times New Roman" w:eastAsia="Times New Roman" w:hAnsi="Times New Roman" w:cs="Times New Roman"/>
          <w:sz w:val="24"/>
          <w:szCs w:val="24"/>
        </w:rPr>
        <w:t xml:space="preserve"> ample literature on student voice</w:t>
      </w:r>
      <w:r w:rsidR="003445C4">
        <w:rPr>
          <w:rFonts w:ascii="Times New Roman" w:eastAsia="Times New Roman" w:hAnsi="Times New Roman" w:cs="Times New Roman"/>
          <w:sz w:val="24"/>
          <w:szCs w:val="24"/>
        </w:rPr>
        <w:t xml:space="preserve"> in higher education</w:t>
      </w:r>
      <w:r w:rsidR="00BF3419">
        <w:rPr>
          <w:rFonts w:ascii="Times New Roman" w:eastAsia="Times New Roman" w:hAnsi="Times New Roman" w:cs="Times New Roman"/>
          <w:sz w:val="24"/>
          <w:szCs w:val="24"/>
        </w:rPr>
        <w:t xml:space="preserve"> and students-as-partners education (Fielding 2001, 2004; Cook-Sather 2006; </w:t>
      </w:r>
      <w:proofErr w:type="spellStart"/>
      <w:r w:rsidR="00BF3419">
        <w:rPr>
          <w:rFonts w:ascii="Times New Roman" w:eastAsia="Times New Roman" w:hAnsi="Times New Roman" w:cs="Times New Roman"/>
          <w:sz w:val="24"/>
          <w:szCs w:val="24"/>
        </w:rPr>
        <w:t>Bovill</w:t>
      </w:r>
      <w:proofErr w:type="spellEnd"/>
      <w:r w:rsidR="00BF3419">
        <w:rPr>
          <w:rFonts w:ascii="Times New Roman" w:eastAsia="Times New Roman" w:hAnsi="Times New Roman" w:cs="Times New Roman"/>
          <w:sz w:val="24"/>
          <w:szCs w:val="24"/>
        </w:rPr>
        <w:t xml:space="preserve">, Cook-Sather &amp; </w:t>
      </w:r>
      <w:proofErr w:type="spellStart"/>
      <w:r w:rsidR="00BF3419">
        <w:rPr>
          <w:rFonts w:ascii="Times New Roman" w:eastAsia="Times New Roman" w:hAnsi="Times New Roman" w:cs="Times New Roman"/>
          <w:sz w:val="24"/>
          <w:szCs w:val="24"/>
        </w:rPr>
        <w:t>Fellen</w:t>
      </w:r>
      <w:proofErr w:type="spellEnd"/>
      <w:r w:rsidR="00BF3419">
        <w:rPr>
          <w:rFonts w:ascii="Times New Roman" w:eastAsia="Times New Roman" w:hAnsi="Times New Roman" w:cs="Times New Roman"/>
          <w:sz w:val="24"/>
          <w:szCs w:val="24"/>
        </w:rPr>
        <w:t xml:space="preserve"> 2011; Healey, Flint &amp; Harrington 2014; Cook-Sather &amp; Luz 2015; Cook-Sather et al. 2018; Matthews 2017; Matthews et al 2018a,b,c;  Klemenčič 2015a, 2018, 2020)</w:t>
      </w:r>
      <w:r w:rsidR="003445C4">
        <w:rPr>
          <w:rFonts w:ascii="Times New Roman" w:eastAsia="Times New Roman" w:hAnsi="Times New Roman" w:cs="Times New Roman"/>
          <w:sz w:val="24"/>
          <w:szCs w:val="24"/>
        </w:rPr>
        <w:t>. This literature</w:t>
      </w:r>
      <w:r w:rsidR="00BF3419">
        <w:rPr>
          <w:rFonts w:ascii="Times New Roman" w:eastAsia="Times New Roman" w:hAnsi="Times New Roman" w:cs="Times New Roman"/>
          <w:sz w:val="24"/>
          <w:szCs w:val="24"/>
        </w:rPr>
        <w:t xml:space="preserve"> speaks to the enactment of student agency for purposes of changing the educational processes and structures. This scholarship affirms the propositions by agency theorists such as Archer (1995, 2000, 2003) and Giddens (1984) that not only structures have effects on agents, but that agents – students</w:t>
      </w:r>
      <w:r w:rsidR="003445C4">
        <w:rPr>
          <w:rFonts w:ascii="Times New Roman" w:eastAsia="Times New Roman" w:hAnsi="Times New Roman" w:cs="Times New Roman"/>
          <w:sz w:val="24"/>
          <w:szCs w:val="24"/>
        </w:rPr>
        <w:t xml:space="preserve"> as agents</w:t>
      </w:r>
      <w:r w:rsidR="00BF3419">
        <w:rPr>
          <w:rFonts w:ascii="Times New Roman" w:eastAsia="Times New Roman" w:hAnsi="Times New Roman" w:cs="Times New Roman"/>
          <w:sz w:val="24"/>
          <w:szCs w:val="24"/>
        </w:rPr>
        <w:t xml:space="preserve"> also have effects on </w:t>
      </w:r>
      <w:r w:rsidR="003445C4">
        <w:rPr>
          <w:rFonts w:ascii="Times New Roman" w:eastAsia="Times New Roman" w:hAnsi="Times New Roman" w:cs="Times New Roman"/>
          <w:sz w:val="24"/>
          <w:szCs w:val="24"/>
        </w:rPr>
        <w:t>processes and structures within the higher education institutions</w:t>
      </w:r>
      <w:r w:rsidR="00BF3419">
        <w:rPr>
          <w:rFonts w:ascii="Times New Roman" w:eastAsia="Times New Roman" w:hAnsi="Times New Roman" w:cs="Times New Roman"/>
          <w:sz w:val="24"/>
          <w:szCs w:val="24"/>
        </w:rPr>
        <w:t xml:space="preserve">. </w:t>
      </w:r>
    </w:p>
    <w:p w14:paraId="2AAF0463" w14:textId="77777777" w:rsidR="00170769" w:rsidRDefault="00170769">
      <w:pPr>
        <w:jc w:val="both"/>
        <w:rPr>
          <w:rFonts w:ascii="Times New Roman" w:eastAsia="Times New Roman" w:hAnsi="Times New Roman" w:cs="Times New Roman"/>
          <w:sz w:val="24"/>
          <w:szCs w:val="24"/>
        </w:rPr>
      </w:pPr>
    </w:p>
    <w:p w14:paraId="73ADE125" w14:textId="564E244E" w:rsidR="00170769" w:rsidRDefault="00BF3419" w:rsidP="007A2EB9">
      <w:pPr>
        <w:pStyle w:val="Heading1"/>
        <w:jc w:val="both"/>
      </w:pPr>
      <w:bookmarkStart w:id="8" w:name="_bbzovzye5xl8" w:colFirst="0" w:colLast="0"/>
      <w:bookmarkEnd w:id="8"/>
      <w:r>
        <w:rPr>
          <w:rFonts w:ascii="Times New Roman" w:eastAsia="Times New Roman" w:hAnsi="Times New Roman" w:cs="Times New Roman"/>
          <w:b/>
          <w:sz w:val="24"/>
          <w:szCs w:val="24"/>
        </w:rPr>
        <w:t xml:space="preserve">A theory of student agency </w:t>
      </w:r>
    </w:p>
    <w:p w14:paraId="70A330BD" w14:textId="0A556EE3" w:rsidR="00170769" w:rsidRDefault="00BF3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agency is central to our understanding of student experiences and student outcomes in higher education. This chapter </w:t>
      </w:r>
      <w:r w:rsidR="00D45BA5">
        <w:rPr>
          <w:rFonts w:ascii="Times New Roman" w:eastAsia="Times New Roman" w:hAnsi="Times New Roman" w:cs="Times New Roman"/>
          <w:sz w:val="24"/>
          <w:szCs w:val="24"/>
        </w:rPr>
        <w:t>proposes</w:t>
      </w:r>
      <w:r>
        <w:rPr>
          <w:rFonts w:ascii="Times New Roman" w:eastAsia="Times New Roman" w:hAnsi="Times New Roman" w:cs="Times New Roman"/>
          <w:sz w:val="24"/>
          <w:szCs w:val="24"/>
        </w:rPr>
        <w:t xml:space="preserve"> a comprehensive theory of student agency that accounts for time, space and place dynamics and explains student experiences, pathways, and outcomes</w:t>
      </w:r>
      <w:r w:rsidR="003445C4">
        <w:rPr>
          <w:rFonts w:ascii="Times New Roman" w:eastAsia="Times New Roman" w:hAnsi="Times New Roman" w:cs="Times New Roman"/>
          <w:sz w:val="24"/>
          <w:szCs w:val="24"/>
        </w:rPr>
        <w:t xml:space="preserve"> through the lens of student agency</w:t>
      </w:r>
      <w:r>
        <w:rPr>
          <w:rFonts w:ascii="Times New Roman" w:eastAsia="Times New Roman" w:hAnsi="Times New Roman" w:cs="Times New Roman"/>
          <w:sz w:val="24"/>
          <w:szCs w:val="24"/>
        </w:rPr>
        <w:t xml:space="preserve">. </w:t>
      </w:r>
      <w:r w:rsidR="00D45BA5">
        <w:rPr>
          <w:rFonts w:ascii="Times New Roman" w:eastAsia="Times New Roman" w:hAnsi="Times New Roman" w:cs="Times New Roman"/>
          <w:sz w:val="24"/>
          <w:szCs w:val="24"/>
        </w:rPr>
        <w:t>The theory of student agency shifts attention from institutional structures and processes, and student engagement with these structures, to students’ capabilities and how students navigate and influence their learning and education pathways and environments. In other words, it highlights the importance of students’</w:t>
      </w:r>
      <w:r w:rsidR="000B4414">
        <w:rPr>
          <w:rFonts w:ascii="Times New Roman" w:eastAsia="Times New Roman" w:hAnsi="Times New Roman" w:cs="Times New Roman"/>
          <w:sz w:val="24"/>
          <w:szCs w:val="24"/>
        </w:rPr>
        <w:t xml:space="preserve"> </w:t>
      </w:r>
      <w:r w:rsidR="00D45BA5">
        <w:rPr>
          <w:rFonts w:ascii="Times New Roman" w:eastAsia="Times New Roman" w:hAnsi="Times New Roman" w:cs="Times New Roman"/>
          <w:sz w:val="24"/>
          <w:szCs w:val="24"/>
        </w:rPr>
        <w:t xml:space="preserve">capabilities </w:t>
      </w:r>
      <w:r w:rsidR="003445C4">
        <w:rPr>
          <w:rFonts w:ascii="Times New Roman" w:eastAsia="Times New Roman" w:hAnsi="Times New Roman" w:cs="Times New Roman"/>
          <w:sz w:val="24"/>
          <w:szCs w:val="24"/>
        </w:rPr>
        <w:t xml:space="preserve">such </w:t>
      </w:r>
      <w:r w:rsidR="003445C4">
        <w:rPr>
          <w:rFonts w:ascii="Times New Roman" w:eastAsia="Times New Roman" w:hAnsi="Times New Roman" w:cs="Times New Roman"/>
          <w:sz w:val="24"/>
          <w:szCs w:val="24"/>
          <w:highlight w:val="white"/>
        </w:rPr>
        <w:t>intentionality, forethought, self-regulation and reflexivity, self-awareness and self-efficacy</w:t>
      </w:r>
      <w:r w:rsidR="00D45BA5">
        <w:rPr>
          <w:rFonts w:ascii="Times New Roman" w:eastAsia="Times New Roman" w:hAnsi="Times New Roman" w:cs="Times New Roman"/>
          <w:sz w:val="24"/>
          <w:szCs w:val="24"/>
          <w:highlight w:val="white"/>
        </w:rPr>
        <w:t xml:space="preserve"> </w:t>
      </w:r>
      <w:r w:rsidR="00D45BA5">
        <w:rPr>
          <w:rFonts w:ascii="Times New Roman" w:eastAsia="Times New Roman" w:hAnsi="Times New Roman" w:cs="Times New Roman"/>
          <w:sz w:val="24"/>
          <w:szCs w:val="24"/>
        </w:rPr>
        <w:t xml:space="preserve">(Bandura 2005). </w:t>
      </w:r>
      <w:r>
        <w:rPr>
          <w:rFonts w:ascii="Times New Roman" w:eastAsia="Times New Roman" w:hAnsi="Times New Roman" w:cs="Times New Roman"/>
          <w:sz w:val="24"/>
          <w:szCs w:val="24"/>
        </w:rPr>
        <w:t xml:space="preserve">This is to address the notable fragmentation of approaches conceptualizing the conditions of student success in higher education, and to integrate these approaches into an overarching theoretical framework.  The development of a theory of student agency is guided by three questions: (1) What is student agency and what are student outcomes of higher education? (2) What are the student agency dynamics across, time, space, and place in higher education (and in the context of transnational higher education cooperation)? (3) How does student agency affect student outcomes? </w:t>
      </w:r>
    </w:p>
    <w:p w14:paraId="3F91BCDE" w14:textId="77777777" w:rsidR="00170769" w:rsidRDefault="00170769">
      <w:pPr>
        <w:jc w:val="both"/>
        <w:rPr>
          <w:rFonts w:ascii="Times New Roman" w:eastAsia="Times New Roman" w:hAnsi="Times New Roman" w:cs="Times New Roman"/>
          <w:sz w:val="24"/>
          <w:szCs w:val="24"/>
        </w:rPr>
      </w:pPr>
    </w:p>
    <w:p w14:paraId="55077461" w14:textId="3E6AAB5E" w:rsidR="00170769" w:rsidRDefault="00BF3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my earlier work, I suggest that student agency is premised on agentic possibilities and agentic orientations (Klemenčič 2015a, b, 2017, 2018</w:t>
      </w:r>
      <w:r w:rsidR="00C51D4E">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Students’ agentic possibilities are positive freedoms and opportunities within higher education or broader societal ecosystems for students to do and to be what they have reason to value (cf. Sen 1985, 1992, 1999, 2009). These reflect also negative freedoms derived from student rights and responsibilities</w:t>
      </w:r>
      <w:r w:rsidR="007F798F">
        <w:rPr>
          <w:rFonts w:ascii="Times New Roman" w:eastAsia="Times New Roman" w:hAnsi="Times New Roman" w:cs="Times New Roman"/>
          <w:sz w:val="24"/>
          <w:szCs w:val="24"/>
        </w:rPr>
        <w:t xml:space="preserve">. These negative freedoms </w:t>
      </w:r>
      <w:r>
        <w:rPr>
          <w:rFonts w:ascii="Times New Roman" w:eastAsia="Times New Roman" w:hAnsi="Times New Roman" w:cs="Times New Roman"/>
          <w:sz w:val="24"/>
          <w:szCs w:val="24"/>
        </w:rPr>
        <w:t xml:space="preserve"> condition students’ autonomy</w:t>
      </w:r>
      <w:r w:rsidR="007F798F">
        <w:rPr>
          <w:rFonts w:ascii="Times New Roman" w:eastAsia="Times New Roman" w:hAnsi="Times New Roman" w:cs="Times New Roman"/>
          <w:sz w:val="24"/>
          <w:szCs w:val="24"/>
        </w:rPr>
        <w:t>, i.e.,</w:t>
      </w:r>
      <w:r>
        <w:rPr>
          <w:rFonts w:ascii="Times New Roman" w:eastAsia="Times New Roman" w:hAnsi="Times New Roman" w:cs="Times New Roman"/>
          <w:sz w:val="24"/>
          <w:szCs w:val="24"/>
        </w:rPr>
        <w:t xml:space="preserve"> as a freedom to act, think and be</w:t>
      </w:r>
      <w:r w:rsidR="007F798F">
        <w:rPr>
          <w:rFonts w:ascii="Times New Roman" w:eastAsia="Times New Roman" w:hAnsi="Times New Roman" w:cs="Times New Roman"/>
          <w:sz w:val="24"/>
          <w:szCs w:val="24"/>
        </w:rPr>
        <w:t>. Student autonomy</w:t>
      </w:r>
      <w:r w:rsidR="00F033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implies </w:t>
      </w:r>
      <w:r w:rsidR="007F798F">
        <w:rPr>
          <w:rFonts w:ascii="Times New Roman" w:eastAsia="Times New Roman" w:hAnsi="Times New Roman" w:cs="Times New Roman"/>
          <w:sz w:val="24"/>
          <w:szCs w:val="24"/>
        </w:rPr>
        <w:t>(</w:t>
      </w:r>
      <w:r>
        <w:rPr>
          <w:rFonts w:ascii="Times New Roman" w:eastAsia="Times New Roman" w:hAnsi="Times New Roman" w:cs="Times New Roman"/>
          <w:sz w:val="24"/>
          <w:szCs w:val="24"/>
        </w:rPr>
        <w:t>th</w:t>
      </w:r>
      <w:r w:rsidR="007F798F">
        <w:rPr>
          <w:rFonts w:ascii="Times New Roman" w:eastAsia="Times New Roman" w:hAnsi="Times New Roman" w:cs="Times New Roman"/>
          <w:sz w:val="24"/>
          <w:szCs w:val="24"/>
        </w:rPr>
        <w:t>e degree) that</w:t>
      </w:r>
      <w:r>
        <w:rPr>
          <w:rFonts w:ascii="Times New Roman" w:eastAsia="Times New Roman" w:hAnsi="Times New Roman" w:cs="Times New Roman"/>
          <w:sz w:val="24"/>
          <w:szCs w:val="24"/>
        </w:rPr>
        <w:t xml:space="preserve"> students’ behavior is experienced as willingly enacted. </w:t>
      </w:r>
      <w:r w:rsidR="007F798F">
        <w:rPr>
          <w:rFonts w:ascii="Times New Roman" w:eastAsia="Times New Roman" w:hAnsi="Times New Roman" w:cs="Times New Roman"/>
          <w:sz w:val="24"/>
          <w:szCs w:val="24"/>
        </w:rPr>
        <w:t>Students’ agentic possibilities</w:t>
      </w:r>
      <w:r>
        <w:rPr>
          <w:rFonts w:ascii="Times New Roman" w:eastAsia="Times New Roman" w:hAnsi="Times New Roman" w:cs="Times New Roman"/>
          <w:sz w:val="24"/>
          <w:szCs w:val="24"/>
        </w:rPr>
        <w:t xml:space="preserve"> are exogenously given – they originate outside the individual. </w:t>
      </w:r>
    </w:p>
    <w:p w14:paraId="1A087E03" w14:textId="77777777" w:rsidR="00170769" w:rsidRDefault="00170769">
      <w:pPr>
        <w:jc w:val="both"/>
        <w:rPr>
          <w:rFonts w:ascii="Times New Roman" w:eastAsia="Times New Roman" w:hAnsi="Times New Roman" w:cs="Times New Roman"/>
          <w:sz w:val="24"/>
          <w:szCs w:val="24"/>
        </w:rPr>
      </w:pPr>
    </w:p>
    <w:p w14:paraId="1EE452CF" w14:textId="5BB022F7" w:rsidR="00170769" w:rsidRDefault="00BF3419" w:rsidP="009928A9">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agentic orientations reflect human diversity</w:t>
      </w:r>
      <w:r w:rsidR="007F798F">
        <w:rPr>
          <w:rFonts w:ascii="Times New Roman" w:eastAsia="Times New Roman" w:hAnsi="Times New Roman" w:cs="Times New Roman"/>
          <w:sz w:val="24"/>
          <w:szCs w:val="24"/>
        </w:rPr>
        <w:t xml:space="preserve"> along a range of variables, such as gender, personality traits, cognitive abilities and intellectual dispositions, </w:t>
      </w:r>
      <w:r w:rsidR="009839E3">
        <w:rPr>
          <w:rFonts w:ascii="Times New Roman" w:eastAsia="Times New Roman" w:hAnsi="Times New Roman" w:cs="Times New Roman"/>
          <w:sz w:val="24"/>
          <w:szCs w:val="24"/>
        </w:rPr>
        <w:t xml:space="preserve">prior academic achievement, </w:t>
      </w:r>
      <w:r w:rsidR="007F798F">
        <w:rPr>
          <w:rFonts w:ascii="Times New Roman" w:eastAsia="Times New Roman" w:hAnsi="Times New Roman" w:cs="Times New Roman"/>
          <w:sz w:val="24"/>
          <w:szCs w:val="24"/>
        </w:rPr>
        <w:t>socio-economic background</w:t>
      </w:r>
      <w:r w:rsidR="00FE1F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are endogenously constructed </w:t>
      </w:r>
      <w:r w:rsidR="007F79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F798F">
        <w:rPr>
          <w:rFonts w:ascii="Times New Roman" w:eastAsia="Times New Roman" w:hAnsi="Times New Roman" w:cs="Times New Roman"/>
          <w:sz w:val="24"/>
          <w:szCs w:val="24"/>
        </w:rPr>
        <w:t xml:space="preserve">they </w:t>
      </w:r>
      <w:r>
        <w:rPr>
          <w:rFonts w:ascii="Times New Roman" w:eastAsia="Times New Roman" w:hAnsi="Times New Roman" w:cs="Times New Roman"/>
          <w:sz w:val="24"/>
          <w:szCs w:val="24"/>
        </w:rPr>
        <w:t xml:space="preserve">represent students’ internal responses to external state of affairs. </w:t>
      </w:r>
      <w:r w:rsidR="009839E3">
        <w:rPr>
          <w:rFonts w:ascii="Times New Roman" w:eastAsia="Times New Roman" w:hAnsi="Times New Roman" w:cs="Times New Roman"/>
          <w:sz w:val="24"/>
          <w:szCs w:val="24"/>
        </w:rPr>
        <w:t xml:space="preserve">Students’ will to enactment of agency for a set goal is </w:t>
      </w:r>
      <w:r>
        <w:rPr>
          <w:rFonts w:ascii="Times New Roman" w:eastAsia="Times New Roman" w:hAnsi="Times New Roman" w:cs="Times New Roman"/>
          <w:sz w:val="24"/>
          <w:szCs w:val="24"/>
        </w:rPr>
        <w:t xml:space="preserve"> derived </w:t>
      </w:r>
      <w:r w:rsidR="009839E3">
        <w:rPr>
          <w:rFonts w:ascii="Times New Roman" w:eastAsia="Times New Roman" w:hAnsi="Times New Roman" w:cs="Times New Roman"/>
          <w:sz w:val="24"/>
          <w:szCs w:val="24"/>
        </w:rPr>
        <w:t xml:space="preserve">from these background characteristics and a specific lens through which students interpret their own role in the given social situation or setting and acceptable ways of behavior including performing routine tasks. This is what Bourdieu (1984, 1988, 1996) refers to as “habitus”. </w:t>
      </w:r>
      <w:r w:rsidR="00ED269A">
        <w:rPr>
          <w:rFonts w:ascii="Times New Roman" w:eastAsia="Times New Roman" w:hAnsi="Times New Roman" w:cs="Times New Roman"/>
          <w:sz w:val="24"/>
          <w:szCs w:val="24"/>
        </w:rPr>
        <w:t xml:space="preserve">Socio-economic background (class), parents’ education, prior educational background (how selective was the high school), immigrant status and gender can serve as filters for analyzing students’ perceptions of their own role and expected pathways through higher education. </w:t>
      </w:r>
      <w:proofErr w:type="spellStart"/>
      <w:r w:rsidR="009839E3">
        <w:rPr>
          <w:rFonts w:ascii="Times New Roman" w:eastAsia="Times New Roman" w:hAnsi="Times New Roman" w:cs="Times New Roman"/>
          <w:sz w:val="24"/>
          <w:szCs w:val="24"/>
        </w:rPr>
        <w:t>Swidler</w:t>
      </w:r>
      <w:proofErr w:type="spellEnd"/>
      <w:r w:rsidR="009839E3">
        <w:rPr>
          <w:rFonts w:ascii="Times New Roman" w:eastAsia="Times New Roman" w:hAnsi="Times New Roman" w:cs="Times New Roman"/>
          <w:sz w:val="24"/>
          <w:szCs w:val="24"/>
        </w:rPr>
        <w:t xml:space="preserve"> (1987, 280-284) </w:t>
      </w:r>
      <w:r w:rsidR="00ED269A">
        <w:rPr>
          <w:rFonts w:ascii="Times New Roman" w:eastAsia="Times New Roman" w:hAnsi="Times New Roman" w:cs="Times New Roman"/>
          <w:sz w:val="24"/>
          <w:szCs w:val="24"/>
        </w:rPr>
        <w:t xml:space="preserve">highlights the importance of cultural repertoires that help individuals navigate their social contexts, make decisions about their actions and make predictions about the future. She refers to </w:t>
      </w:r>
      <w:r w:rsidR="000B4414">
        <w:rPr>
          <w:rFonts w:ascii="Times New Roman" w:eastAsia="Times New Roman" w:hAnsi="Times New Roman" w:cs="Times New Roman"/>
          <w:sz w:val="24"/>
          <w:szCs w:val="24"/>
        </w:rPr>
        <w:t>individuals</w:t>
      </w:r>
      <w:r w:rsidR="00ED269A">
        <w:rPr>
          <w:rFonts w:ascii="Times New Roman" w:eastAsia="Times New Roman" w:hAnsi="Times New Roman" w:cs="Times New Roman"/>
          <w:sz w:val="24"/>
          <w:szCs w:val="24"/>
        </w:rPr>
        <w:t>’</w:t>
      </w:r>
      <w:r w:rsidR="009839E3">
        <w:rPr>
          <w:rFonts w:ascii="Times New Roman" w:eastAsia="Times New Roman" w:hAnsi="Times New Roman" w:cs="Times New Roman"/>
          <w:sz w:val="24"/>
          <w:szCs w:val="24"/>
        </w:rPr>
        <w:t xml:space="preserve"> “toolkits for action” as a “set of knowledge, skills and symbols which provide the materials from which individuals and groups construct strategies of action”. </w:t>
      </w:r>
      <w:r w:rsidR="00731486">
        <w:rPr>
          <w:rFonts w:ascii="Times New Roman" w:eastAsia="Times New Roman" w:hAnsi="Times New Roman" w:cs="Times New Roman"/>
          <w:sz w:val="24"/>
          <w:szCs w:val="24"/>
        </w:rPr>
        <w:t xml:space="preserve">In sum, student agentic orientations </w:t>
      </w:r>
      <w:r w:rsidR="00ED269A">
        <w:rPr>
          <w:rFonts w:ascii="Times New Roman" w:eastAsia="Times New Roman" w:hAnsi="Times New Roman" w:cs="Times New Roman"/>
          <w:sz w:val="24"/>
          <w:szCs w:val="24"/>
        </w:rPr>
        <w:t>are</w:t>
      </w:r>
      <w:r w:rsidR="00731486">
        <w:rPr>
          <w:rFonts w:ascii="Times New Roman" w:eastAsia="Times New Roman" w:hAnsi="Times New Roman" w:cs="Times New Roman"/>
          <w:sz w:val="24"/>
          <w:szCs w:val="24"/>
        </w:rPr>
        <w:t xml:space="preserve"> “the baggage” that students brings along when entering higher education and that guide</w:t>
      </w:r>
      <w:r w:rsidR="00ED269A">
        <w:rPr>
          <w:rFonts w:ascii="Times New Roman" w:eastAsia="Times New Roman" w:hAnsi="Times New Roman" w:cs="Times New Roman"/>
          <w:sz w:val="24"/>
          <w:szCs w:val="24"/>
        </w:rPr>
        <w:t xml:space="preserve"> their initial choices and actions. </w:t>
      </w:r>
      <w:r w:rsidR="00731486">
        <w:rPr>
          <w:rFonts w:ascii="Times New Roman" w:eastAsia="Times New Roman" w:hAnsi="Times New Roman" w:cs="Times New Roman"/>
          <w:sz w:val="24"/>
          <w:szCs w:val="24"/>
        </w:rPr>
        <w:t xml:space="preserve">These orientations inevitably develop in studentship through interactions with and within the higher education environment. </w:t>
      </w:r>
    </w:p>
    <w:p w14:paraId="14FDA696" w14:textId="483EC487" w:rsidR="00170769" w:rsidRDefault="00BF3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Agentic possibilities and orientations are temporally embedded, implying that they are shaped through considerations of past habits of mind and action, present judgments of alternatives for action, and projections of the future (</w:t>
      </w:r>
      <w:proofErr w:type="spellStart"/>
      <w:r>
        <w:rPr>
          <w:rFonts w:ascii="Times New Roman" w:eastAsia="Times New Roman" w:hAnsi="Times New Roman" w:cs="Times New Roman"/>
          <w:sz w:val="24"/>
          <w:szCs w:val="24"/>
        </w:rPr>
        <w:t>Emirbayer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Mische</w:t>
      </w:r>
      <w:proofErr w:type="spellEnd"/>
      <w:r>
        <w:rPr>
          <w:rFonts w:ascii="Times New Roman" w:eastAsia="Times New Roman" w:hAnsi="Times New Roman" w:cs="Times New Roman"/>
          <w:sz w:val="24"/>
          <w:szCs w:val="24"/>
        </w:rPr>
        <w:t xml:space="preserve"> 1998). They are also intrinsically relational and social, and situated in structural, cultural, and socio-economic-political contexts of action (“space” and “place”). This conceptualization of student agency is the basis for a comprehensive theory of student agency to explain relations between student agentic capabilities and student outcomes, while accounting for time, space, and place dynamics. This is to offer deeper social scientific understanding of educational processes and outcomes in higher education. </w:t>
      </w:r>
    </w:p>
    <w:p w14:paraId="2B0656BF" w14:textId="77777777" w:rsidR="009928A9" w:rsidRDefault="009928A9">
      <w:pPr>
        <w:jc w:val="both"/>
        <w:rPr>
          <w:rFonts w:ascii="Times New Roman" w:eastAsia="Times New Roman" w:hAnsi="Times New Roman" w:cs="Times New Roman"/>
          <w:sz w:val="24"/>
          <w:szCs w:val="24"/>
        </w:rPr>
      </w:pPr>
    </w:p>
    <w:p w14:paraId="49853F35" w14:textId="325924D7" w:rsidR="00161308" w:rsidRDefault="00BF3419" w:rsidP="007A2EB9">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theory of student agency has two premises. First, it seeks to explain the “conversion” of agentic orientations in </w:t>
      </w:r>
      <w:r w:rsidR="00161308">
        <w:rPr>
          <w:rFonts w:ascii="Times New Roman" w:eastAsia="Times New Roman" w:hAnsi="Times New Roman" w:cs="Times New Roman"/>
          <w:sz w:val="24"/>
          <w:szCs w:val="24"/>
        </w:rPr>
        <w:t xml:space="preserve">engagement </w:t>
      </w:r>
      <w:r>
        <w:rPr>
          <w:rFonts w:ascii="Times New Roman" w:eastAsia="Times New Roman" w:hAnsi="Times New Roman" w:cs="Times New Roman"/>
          <w:sz w:val="24"/>
          <w:szCs w:val="24"/>
        </w:rPr>
        <w:t xml:space="preserve">with </w:t>
      </w:r>
      <w:r w:rsidR="00161308">
        <w:rPr>
          <w:rFonts w:ascii="Times New Roman" w:eastAsia="Times New Roman" w:hAnsi="Times New Roman" w:cs="Times New Roman"/>
          <w:sz w:val="24"/>
          <w:szCs w:val="24"/>
        </w:rPr>
        <w:t xml:space="preserve">the academic and social structures </w:t>
      </w:r>
      <w:r>
        <w:rPr>
          <w:rFonts w:ascii="Times New Roman" w:eastAsia="Times New Roman" w:hAnsi="Times New Roman" w:cs="Times New Roman"/>
          <w:sz w:val="24"/>
          <w:szCs w:val="24"/>
        </w:rPr>
        <w:t>(</w:t>
      </w:r>
      <w:r w:rsidR="00731486">
        <w:rPr>
          <w:rFonts w:ascii="Times New Roman" w:eastAsia="Times New Roman" w:hAnsi="Times New Roman" w:cs="Times New Roman"/>
          <w:sz w:val="24"/>
          <w:szCs w:val="24"/>
        </w:rPr>
        <w:t>offering</w:t>
      </w:r>
      <w:r w:rsidR="001613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agentic possibilities and resources) into a set of capabilities that comprise student agency. Second, the theory of student agency captures </w:t>
      </w:r>
      <w:r w:rsidR="00161308">
        <w:rPr>
          <w:rFonts w:ascii="Times New Roman" w:eastAsia="Times New Roman" w:hAnsi="Times New Roman" w:cs="Times New Roman"/>
          <w:sz w:val="24"/>
          <w:szCs w:val="24"/>
        </w:rPr>
        <w:t xml:space="preserve">the conversion of </w:t>
      </w:r>
      <w:r>
        <w:rPr>
          <w:rFonts w:ascii="Times New Roman" w:eastAsia="Times New Roman" w:hAnsi="Times New Roman" w:cs="Times New Roman"/>
          <w:sz w:val="24"/>
          <w:szCs w:val="24"/>
        </w:rPr>
        <w:t xml:space="preserve">these agentic capabilities </w:t>
      </w:r>
      <w:r w:rsidR="00161308">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engagement </w:t>
      </w:r>
      <w:r w:rsidR="00161308">
        <w:rPr>
          <w:rFonts w:ascii="Times New Roman" w:eastAsia="Times New Roman" w:hAnsi="Times New Roman" w:cs="Times New Roman"/>
          <w:sz w:val="24"/>
          <w:szCs w:val="24"/>
        </w:rPr>
        <w:t>with the structures into</w:t>
      </w:r>
      <w:r>
        <w:rPr>
          <w:rFonts w:ascii="Times New Roman" w:eastAsia="Times New Roman" w:hAnsi="Times New Roman" w:cs="Times New Roman"/>
          <w:sz w:val="24"/>
          <w:szCs w:val="24"/>
        </w:rPr>
        <w:t xml:space="preserve"> student experiences, pathways, and outcomes. Accordingly, the student agency </w:t>
      </w:r>
      <w:r>
        <w:rPr>
          <w:rFonts w:ascii="Times New Roman" w:eastAsia="Times New Roman" w:hAnsi="Times New Roman" w:cs="Times New Roman"/>
          <w:sz w:val="24"/>
          <w:szCs w:val="24"/>
        </w:rPr>
        <w:lastRenderedPageBreak/>
        <w:t>theoretical model, as depicted in Figure 1 below, has two analytical domains: (1) conversion of agentic orientations (habitus, dispositions, traits</w:t>
      </w:r>
      <w:r w:rsidR="00731486">
        <w:rPr>
          <w:rFonts w:ascii="Times New Roman" w:eastAsia="Times New Roman" w:hAnsi="Times New Roman" w:cs="Times New Roman"/>
          <w:sz w:val="24"/>
          <w:szCs w:val="24"/>
        </w:rPr>
        <w:t>, gender</w:t>
      </w:r>
      <w:r>
        <w:rPr>
          <w:rFonts w:ascii="Times New Roman" w:eastAsia="Times New Roman" w:hAnsi="Times New Roman" w:cs="Times New Roman"/>
          <w:sz w:val="24"/>
          <w:szCs w:val="24"/>
        </w:rPr>
        <w:t xml:space="preserve">) in interplay with “structures” into a set of capabilities comprising student agency; and (2) conversion of student agency (as a set of capabilities) in interplay with “structures” into student experiences and outcomes. </w:t>
      </w:r>
      <w:r w:rsidR="00731486">
        <w:rPr>
          <w:rFonts w:ascii="Times New Roman" w:eastAsia="Times New Roman" w:hAnsi="Times New Roman" w:cs="Times New Roman"/>
          <w:sz w:val="24"/>
          <w:szCs w:val="24"/>
        </w:rPr>
        <w:t xml:space="preserve">Importantly, this processes of conversion are neither linear nor deterministic. </w:t>
      </w:r>
      <w:r w:rsidR="00AA587E">
        <w:rPr>
          <w:rFonts w:ascii="Times New Roman" w:eastAsia="Times New Roman" w:hAnsi="Times New Roman" w:cs="Times New Roman"/>
          <w:sz w:val="24"/>
          <w:szCs w:val="24"/>
        </w:rPr>
        <w:t>Achieving certain student outcomes, such as for example successfully completing a course, can feed back into the agentic capabilities, for example, by consolidating the forethought for a particular course of study or profession and or consolidating sense of self-efficacy (through the acquired competence) and of affirming capabilities for self-regulation. Furthermore, the model does not presuppose</w:t>
      </w:r>
      <w:r w:rsidR="00A05711">
        <w:rPr>
          <w:rFonts w:ascii="Times New Roman" w:eastAsia="Times New Roman" w:hAnsi="Times New Roman" w:cs="Times New Roman"/>
          <w:sz w:val="24"/>
          <w:szCs w:val="24"/>
        </w:rPr>
        <w:t>s</w:t>
      </w:r>
      <w:r w:rsidR="00AA587E">
        <w:rPr>
          <w:rFonts w:ascii="Times New Roman" w:eastAsia="Times New Roman" w:hAnsi="Times New Roman" w:cs="Times New Roman"/>
          <w:sz w:val="24"/>
          <w:szCs w:val="24"/>
        </w:rPr>
        <w:t xml:space="preserve"> </w:t>
      </w:r>
      <w:r w:rsidR="00A05711">
        <w:rPr>
          <w:rFonts w:ascii="Times New Roman" w:eastAsia="Times New Roman" w:hAnsi="Times New Roman" w:cs="Times New Roman"/>
          <w:sz w:val="24"/>
          <w:szCs w:val="24"/>
        </w:rPr>
        <w:t>a necessarily progressive development of student agency: student capabilities can also be unchanged or contracted in these processes of conversion.</w:t>
      </w:r>
    </w:p>
    <w:p w14:paraId="231269B0" w14:textId="77777777" w:rsidR="00161308" w:rsidRDefault="00161308">
      <w:pPr>
        <w:spacing w:line="240" w:lineRule="auto"/>
        <w:jc w:val="both"/>
        <w:rPr>
          <w:rFonts w:ascii="Times New Roman" w:eastAsia="Times New Roman" w:hAnsi="Times New Roman" w:cs="Times New Roman"/>
          <w:sz w:val="24"/>
          <w:szCs w:val="24"/>
        </w:rPr>
      </w:pPr>
    </w:p>
    <w:p w14:paraId="15C0D41F" w14:textId="17D6B60A" w:rsidR="00170769" w:rsidRDefault="00BF341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The STUDENTAGENCY model (developed by the author)</w:t>
      </w:r>
    </w:p>
    <w:p w14:paraId="219673AB" w14:textId="77777777" w:rsidR="00170769" w:rsidRDefault="00BF3419">
      <w:pPr>
        <w:spacing w:after="10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37432B38" wp14:editId="26DDC642">
            <wp:extent cx="5943600" cy="4025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4025900"/>
                    </a:xfrm>
                    <a:prstGeom prst="rect">
                      <a:avLst/>
                    </a:prstGeom>
                    <a:ln/>
                  </pic:spPr>
                </pic:pic>
              </a:graphicData>
            </a:graphic>
          </wp:inline>
        </w:drawing>
      </w:r>
    </w:p>
    <w:p w14:paraId="23E028C3" w14:textId="3E99310E" w:rsidR="00170769" w:rsidRDefault="00BF3419">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Such an integrated framework allows us to single-out specific variables and to measure relationships between these variables</w:t>
      </w:r>
      <w:r w:rsidR="005E1BCE">
        <w:rPr>
          <w:rFonts w:ascii="Times New Roman" w:eastAsia="Times New Roman" w:hAnsi="Times New Roman" w:cs="Times New Roman"/>
          <w:sz w:val="24"/>
          <w:szCs w:val="24"/>
        </w:rPr>
        <w:t xml:space="preserve"> while also depict the overarching mechanism of relations between students’ agentic orientations in interplay with agentic possibilities and student experiences and outcomes</w:t>
      </w:r>
      <w:r>
        <w:rPr>
          <w:rFonts w:ascii="Times New Roman" w:eastAsia="Times New Roman" w:hAnsi="Times New Roman" w:cs="Times New Roman"/>
          <w:sz w:val="24"/>
          <w:szCs w:val="24"/>
        </w:rPr>
        <w:t>. Following Sen's capability approach (Sen 1985, 1992, 1999, 2009), the proposition here is that evaluations of social arrangements in the context of higher education processes, as they relate to student outcomes</w:t>
      </w:r>
      <w:r w:rsidR="005E1BCE">
        <w:rPr>
          <w:rFonts w:ascii="Times New Roman" w:eastAsia="Times New Roman" w:hAnsi="Times New Roman" w:cs="Times New Roman"/>
          <w:sz w:val="24"/>
          <w:szCs w:val="24"/>
        </w:rPr>
        <w:t xml:space="preserve"> and experiences in higher education</w:t>
      </w:r>
      <w:r>
        <w:rPr>
          <w:rFonts w:ascii="Times New Roman" w:eastAsia="Times New Roman" w:hAnsi="Times New Roman" w:cs="Times New Roman"/>
          <w:sz w:val="24"/>
          <w:szCs w:val="24"/>
        </w:rPr>
        <w:t xml:space="preserve">, be undertaken by focusing on student </w:t>
      </w:r>
      <w:r w:rsidR="005E1BCE">
        <w:rPr>
          <w:rFonts w:ascii="Times New Roman" w:eastAsia="Times New Roman" w:hAnsi="Times New Roman" w:cs="Times New Roman"/>
          <w:sz w:val="24"/>
          <w:szCs w:val="24"/>
        </w:rPr>
        <w:t>agency as a set of valuable capabilities</w:t>
      </w:r>
      <w:r>
        <w:rPr>
          <w:rFonts w:ascii="Times New Roman" w:eastAsia="Times New Roman" w:hAnsi="Times New Roman" w:cs="Times New Roman"/>
          <w:sz w:val="24"/>
          <w:szCs w:val="24"/>
        </w:rPr>
        <w:t xml:space="preserve">. </w:t>
      </w:r>
      <w:r w:rsidR="005E1BCE">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entral to the methodological </w:t>
      </w:r>
      <w:r>
        <w:rPr>
          <w:rFonts w:ascii="Times New Roman" w:eastAsia="Times New Roman" w:hAnsi="Times New Roman" w:cs="Times New Roman"/>
          <w:sz w:val="24"/>
          <w:szCs w:val="24"/>
        </w:rPr>
        <w:lastRenderedPageBreak/>
        <w:t xml:space="preserve">framework is the concept of student agency as </w:t>
      </w:r>
      <w:r>
        <w:rPr>
          <w:rFonts w:ascii="Times New Roman" w:eastAsia="Times New Roman" w:hAnsi="Times New Roman" w:cs="Times New Roman"/>
          <w:i/>
          <w:sz w:val="24"/>
          <w:szCs w:val="24"/>
        </w:rPr>
        <w:t>a multidimensional, dynamic, and socio-structurally and relationally conditioned concept</w:t>
      </w:r>
      <w:r>
        <w:rPr>
          <w:rFonts w:ascii="Times New Roman" w:eastAsia="Times New Roman" w:hAnsi="Times New Roman" w:cs="Times New Roman"/>
          <w:sz w:val="24"/>
          <w:szCs w:val="24"/>
        </w:rPr>
        <w:t xml:space="preserve">. </w:t>
      </w:r>
    </w:p>
    <w:p w14:paraId="6BCAC674" w14:textId="5D2C372A" w:rsidR="005E1BCE" w:rsidRDefault="005E1BCE">
      <w:pPr>
        <w:spacing w:after="100"/>
        <w:jc w:val="both"/>
        <w:rPr>
          <w:rFonts w:ascii="Times New Roman" w:eastAsia="Times New Roman" w:hAnsi="Times New Roman" w:cs="Times New Roman"/>
          <w:sz w:val="24"/>
          <w:szCs w:val="24"/>
        </w:rPr>
      </w:pPr>
    </w:p>
    <w:p w14:paraId="5ACB84EB" w14:textId="29844CBE" w:rsidR="005E1BCE" w:rsidRDefault="005E1BCE" w:rsidP="007A2EB9">
      <w:pPr>
        <w:pStyle w:val="Heading3"/>
      </w:pPr>
      <w:r>
        <w:t>Student agency as a multidimensional, dynamic, and socio-structurally and relationally conditioned concept</w:t>
      </w:r>
    </w:p>
    <w:p w14:paraId="044D3D2C" w14:textId="4CB70642" w:rsidR="005E1BCE" w:rsidRDefault="005E1BCE">
      <w:pPr>
        <w:spacing w:after="100"/>
        <w:jc w:val="both"/>
        <w:rPr>
          <w:rFonts w:ascii="Garamond" w:eastAsia="Garamond" w:hAnsi="Garamond" w:cs="Garamond"/>
          <w:sz w:val="17"/>
          <w:szCs w:val="17"/>
        </w:rPr>
      </w:pPr>
    </w:p>
    <w:p w14:paraId="338F9157" w14:textId="0B4EAA76" w:rsidR="00170769" w:rsidRDefault="00890FAD">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s</w:t>
      </w:r>
      <w:r w:rsidR="00BF3419">
        <w:rPr>
          <w:rFonts w:ascii="Times New Roman" w:eastAsia="Times New Roman" w:hAnsi="Times New Roman" w:cs="Times New Roman"/>
          <w:sz w:val="24"/>
          <w:szCs w:val="24"/>
        </w:rPr>
        <w:t xml:space="preserve">tudent agency is </w:t>
      </w:r>
      <w:r w:rsidR="00BF3419">
        <w:rPr>
          <w:rFonts w:ascii="Times New Roman" w:eastAsia="Times New Roman" w:hAnsi="Times New Roman" w:cs="Times New Roman"/>
          <w:i/>
          <w:sz w:val="24"/>
          <w:szCs w:val="24"/>
        </w:rPr>
        <w:t>a multidimensional concept</w:t>
      </w:r>
      <w:r w:rsidR="00BF3419">
        <w:rPr>
          <w:rFonts w:ascii="Times New Roman" w:eastAsia="Times New Roman" w:hAnsi="Times New Roman" w:cs="Times New Roman"/>
          <w:sz w:val="24"/>
          <w:szCs w:val="24"/>
        </w:rPr>
        <w:t xml:space="preserve">. It consists of </w:t>
      </w:r>
      <w:r w:rsidR="00BF3419">
        <w:rPr>
          <w:rFonts w:ascii="Times New Roman" w:eastAsia="Times New Roman" w:hAnsi="Times New Roman" w:cs="Times New Roman"/>
          <w:i/>
          <w:sz w:val="24"/>
          <w:szCs w:val="24"/>
        </w:rPr>
        <w:t>a set of capabilities</w:t>
      </w:r>
      <w:r w:rsidR="00BF3419">
        <w:rPr>
          <w:rFonts w:ascii="Times New Roman" w:eastAsia="Times New Roman" w:hAnsi="Times New Roman" w:cs="Times New Roman"/>
          <w:sz w:val="24"/>
          <w:szCs w:val="24"/>
        </w:rPr>
        <w:t xml:space="preserve">. We do not yet have a comprehensive list of “valuable” capabilities that comprise student agency in </w:t>
      </w:r>
      <w:r w:rsidR="00A05711">
        <w:rPr>
          <w:rFonts w:ascii="Times New Roman" w:eastAsia="Times New Roman" w:hAnsi="Times New Roman" w:cs="Times New Roman"/>
          <w:sz w:val="24"/>
          <w:szCs w:val="24"/>
        </w:rPr>
        <w:t>higher education</w:t>
      </w:r>
      <w:r w:rsidR="00BF3419">
        <w:rPr>
          <w:rFonts w:ascii="Times New Roman" w:eastAsia="Times New Roman" w:hAnsi="Times New Roman" w:cs="Times New Roman"/>
          <w:sz w:val="24"/>
          <w:szCs w:val="24"/>
        </w:rPr>
        <w:t>. Which capabilities are “valuable” capabilities comprising student agency requires both substantive and valuational judgements. As discussed earlier, several “valuable” capabilities have been identified in research, such as self-regulation (</w:t>
      </w:r>
      <w:r w:rsidR="00BF3419">
        <w:rPr>
          <w:rFonts w:ascii="Times New Roman" w:eastAsia="Times New Roman" w:hAnsi="Times New Roman" w:cs="Times New Roman"/>
          <w:sz w:val="24"/>
          <w:szCs w:val="24"/>
          <w:highlight w:val="white"/>
        </w:rPr>
        <w:t>Zimmerman 2002, 2008; Clegg and Bradley 2006</w:t>
      </w:r>
      <w:r w:rsidR="00BF3419">
        <w:rPr>
          <w:rFonts w:ascii="Times New Roman" w:eastAsia="Times New Roman" w:hAnsi="Times New Roman" w:cs="Times New Roman"/>
          <w:sz w:val="24"/>
          <w:szCs w:val="24"/>
        </w:rPr>
        <w:t xml:space="preserve">), self-direction (Knowles 1975), self-determination (Deci &amp; Ryan 2000, 2019), self-efficacy (Bandura </w:t>
      </w:r>
      <w:r w:rsidR="00BF3419">
        <w:rPr>
          <w:rFonts w:ascii="Times New Roman" w:eastAsia="Times New Roman" w:hAnsi="Times New Roman" w:cs="Times New Roman"/>
          <w:sz w:val="24"/>
          <w:szCs w:val="24"/>
          <w:highlight w:val="white"/>
        </w:rPr>
        <w:t>1986, 1997, 2001, 2005</w:t>
      </w:r>
      <w:r w:rsidR="00BF3419">
        <w:rPr>
          <w:rFonts w:ascii="Times New Roman" w:eastAsia="Times New Roman" w:hAnsi="Times New Roman" w:cs="Times New Roman"/>
          <w:sz w:val="24"/>
          <w:szCs w:val="24"/>
        </w:rPr>
        <w:t xml:space="preserve">) and self-authorship (Baxter </w:t>
      </w:r>
      <w:proofErr w:type="spellStart"/>
      <w:r w:rsidR="00BF3419">
        <w:rPr>
          <w:rFonts w:ascii="Times New Roman" w:eastAsia="Times New Roman" w:hAnsi="Times New Roman" w:cs="Times New Roman"/>
          <w:sz w:val="24"/>
          <w:szCs w:val="24"/>
        </w:rPr>
        <w:t>Magolda</w:t>
      </w:r>
      <w:proofErr w:type="spellEnd"/>
      <w:r w:rsidR="00BF3419">
        <w:rPr>
          <w:rFonts w:ascii="Times New Roman" w:eastAsia="Times New Roman" w:hAnsi="Times New Roman" w:cs="Times New Roman"/>
          <w:sz w:val="24"/>
          <w:szCs w:val="24"/>
        </w:rPr>
        <w:t xml:space="preserve"> 2001, 2007, 2008). However, to both revise and create a more holistic list of student functional capabilities, empirical research based on grounded theory is needed to </w:t>
      </w:r>
      <w:r w:rsidR="00A05711">
        <w:rPr>
          <w:rFonts w:ascii="Times New Roman" w:eastAsia="Times New Roman" w:hAnsi="Times New Roman" w:cs="Times New Roman"/>
          <w:sz w:val="24"/>
          <w:szCs w:val="24"/>
        </w:rPr>
        <w:t xml:space="preserve">test the existing capabilities and or </w:t>
      </w:r>
      <w:r w:rsidR="00BF3419">
        <w:rPr>
          <w:rFonts w:ascii="Times New Roman" w:eastAsia="Times New Roman" w:hAnsi="Times New Roman" w:cs="Times New Roman"/>
          <w:sz w:val="24"/>
          <w:szCs w:val="24"/>
        </w:rPr>
        <w:t>discover any previously overlooked capabilities that have effects on student experiences</w:t>
      </w:r>
      <w:r w:rsidR="00A05711">
        <w:rPr>
          <w:rFonts w:ascii="Times New Roman" w:eastAsia="Times New Roman" w:hAnsi="Times New Roman" w:cs="Times New Roman"/>
          <w:sz w:val="24"/>
          <w:szCs w:val="24"/>
        </w:rPr>
        <w:t xml:space="preserve"> and</w:t>
      </w:r>
      <w:r w:rsidR="00BF3419">
        <w:rPr>
          <w:rFonts w:ascii="Times New Roman" w:eastAsia="Times New Roman" w:hAnsi="Times New Roman" w:cs="Times New Roman"/>
          <w:sz w:val="24"/>
          <w:szCs w:val="24"/>
        </w:rPr>
        <w:t xml:space="preserve"> outcomes. Similarly, which student outcomes are desirable </w:t>
      </w:r>
      <w:r>
        <w:rPr>
          <w:rFonts w:ascii="Times New Roman" w:eastAsia="Times New Roman" w:hAnsi="Times New Roman" w:cs="Times New Roman"/>
          <w:sz w:val="24"/>
          <w:szCs w:val="24"/>
        </w:rPr>
        <w:t xml:space="preserve">also </w:t>
      </w:r>
      <w:r w:rsidR="00BF3419">
        <w:rPr>
          <w:rFonts w:ascii="Times New Roman" w:eastAsia="Times New Roman" w:hAnsi="Times New Roman" w:cs="Times New Roman"/>
          <w:sz w:val="24"/>
          <w:szCs w:val="24"/>
        </w:rPr>
        <w:t>requires both substantive and valuational judgement. Desired student outcomes are listed in government policies and reflected in institutional</w:t>
      </w:r>
      <w:r w:rsidR="00A05711">
        <w:rPr>
          <w:rFonts w:ascii="Times New Roman" w:eastAsia="Times New Roman" w:hAnsi="Times New Roman" w:cs="Times New Roman"/>
          <w:sz w:val="24"/>
          <w:szCs w:val="24"/>
        </w:rPr>
        <w:t xml:space="preserve"> missions</w:t>
      </w:r>
      <w:r w:rsidR="00BF3419">
        <w:rPr>
          <w:rFonts w:ascii="Times New Roman" w:eastAsia="Times New Roman" w:hAnsi="Times New Roman" w:cs="Times New Roman"/>
          <w:sz w:val="24"/>
          <w:szCs w:val="24"/>
        </w:rPr>
        <w:t xml:space="preserve">. New expected </w:t>
      </w:r>
      <w:r>
        <w:rPr>
          <w:rFonts w:ascii="Times New Roman" w:eastAsia="Times New Roman" w:hAnsi="Times New Roman" w:cs="Times New Roman"/>
          <w:sz w:val="24"/>
          <w:szCs w:val="24"/>
        </w:rPr>
        <w:t xml:space="preserve">higher education </w:t>
      </w:r>
      <w:r w:rsidR="00BF3419">
        <w:rPr>
          <w:rFonts w:ascii="Times New Roman" w:eastAsia="Times New Roman" w:hAnsi="Times New Roman" w:cs="Times New Roman"/>
          <w:sz w:val="24"/>
          <w:szCs w:val="24"/>
        </w:rPr>
        <w:t>outcomes</w:t>
      </w:r>
      <w:r w:rsidR="00A05711">
        <w:rPr>
          <w:rFonts w:ascii="Times New Roman" w:eastAsia="Times New Roman" w:hAnsi="Times New Roman" w:cs="Times New Roman"/>
          <w:sz w:val="24"/>
          <w:szCs w:val="24"/>
        </w:rPr>
        <w:t xml:space="preserve"> are emerging</w:t>
      </w:r>
      <w:r>
        <w:rPr>
          <w:rFonts w:ascii="Times New Roman" w:eastAsia="Times New Roman" w:hAnsi="Times New Roman" w:cs="Times New Roman"/>
          <w:sz w:val="24"/>
          <w:szCs w:val="24"/>
        </w:rPr>
        <w:t xml:space="preserve">, such as </w:t>
      </w:r>
      <w:r w:rsidR="00A05711">
        <w:rPr>
          <w:rFonts w:ascii="Times New Roman" w:eastAsia="Times New Roman" w:hAnsi="Times New Roman" w:cs="Times New Roman"/>
          <w:sz w:val="24"/>
          <w:szCs w:val="24"/>
        </w:rPr>
        <w:t>equipping students</w:t>
      </w:r>
      <w:r>
        <w:rPr>
          <w:rFonts w:ascii="Times New Roman" w:eastAsia="Times New Roman" w:hAnsi="Times New Roman" w:cs="Times New Roman"/>
          <w:sz w:val="24"/>
          <w:szCs w:val="24"/>
        </w:rPr>
        <w:t xml:space="preserve"> with digital and green skills</w:t>
      </w:r>
      <w:r w:rsidR="00BF3419">
        <w:rPr>
          <w:rFonts w:ascii="Times New Roman" w:eastAsia="Times New Roman" w:hAnsi="Times New Roman" w:cs="Times New Roman"/>
          <w:sz w:val="24"/>
          <w:szCs w:val="24"/>
        </w:rPr>
        <w:t xml:space="preserve"> (European Commission 2022). Again, a grounded theory approach in empirical research can help define the range of expected student outcomes, including some less often accounted for in higher education research, such as  </w:t>
      </w:r>
      <w:r w:rsidR="00CA54A5">
        <w:rPr>
          <w:rFonts w:ascii="Times New Roman" w:eastAsia="Times New Roman" w:hAnsi="Times New Roman" w:cs="Times New Roman"/>
          <w:sz w:val="24"/>
          <w:szCs w:val="24"/>
        </w:rPr>
        <w:t>mental wellbeing (</w:t>
      </w:r>
      <w:proofErr w:type="spellStart"/>
      <w:r w:rsidR="00CA54A5">
        <w:rPr>
          <w:rFonts w:ascii="Times New Roman" w:eastAsia="Times New Roman" w:hAnsi="Times New Roman" w:cs="Times New Roman"/>
          <w:sz w:val="24"/>
          <w:szCs w:val="24"/>
        </w:rPr>
        <w:t>Baik</w:t>
      </w:r>
      <w:proofErr w:type="spellEnd"/>
      <w:r w:rsidR="00CA54A5">
        <w:rPr>
          <w:rFonts w:ascii="Times New Roman" w:eastAsia="Times New Roman" w:hAnsi="Times New Roman" w:cs="Times New Roman"/>
          <w:sz w:val="24"/>
          <w:szCs w:val="24"/>
        </w:rPr>
        <w:t xml:space="preserve"> et al 2019),  general </w:t>
      </w:r>
      <w:r w:rsidR="00BF3419">
        <w:rPr>
          <w:rFonts w:ascii="Times New Roman" w:eastAsia="Times New Roman" w:hAnsi="Times New Roman" w:cs="Times New Roman"/>
          <w:sz w:val="24"/>
          <w:szCs w:val="24"/>
        </w:rPr>
        <w:t>wellbeing (</w:t>
      </w:r>
      <w:proofErr w:type="spellStart"/>
      <w:r w:rsidR="00BF3419">
        <w:rPr>
          <w:rFonts w:ascii="Times New Roman" w:eastAsia="Times New Roman" w:hAnsi="Times New Roman" w:cs="Times New Roman"/>
          <w:sz w:val="24"/>
          <w:szCs w:val="24"/>
        </w:rPr>
        <w:t>Ryff</w:t>
      </w:r>
      <w:proofErr w:type="spellEnd"/>
      <w:r w:rsidR="00BF3419">
        <w:rPr>
          <w:rFonts w:ascii="Times New Roman" w:eastAsia="Times New Roman" w:hAnsi="Times New Roman" w:cs="Times New Roman"/>
          <w:sz w:val="24"/>
          <w:szCs w:val="24"/>
        </w:rPr>
        <w:t xml:space="preserve"> 1989) or life satisfaction (Cummins 1996). </w:t>
      </w:r>
    </w:p>
    <w:p w14:paraId="715C9558" w14:textId="1552C50A" w:rsidR="00170769" w:rsidRDefault="00890FAD">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 t</w:t>
      </w:r>
      <w:r w:rsidR="00BF3419">
        <w:rPr>
          <w:rFonts w:ascii="Times New Roman" w:eastAsia="Times New Roman" w:hAnsi="Times New Roman" w:cs="Times New Roman"/>
          <w:sz w:val="24"/>
          <w:szCs w:val="24"/>
        </w:rPr>
        <w:t xml:space="preserve">he STUDENTAGENCY model presumes a </w:t>
      </w:r>
      <w:r w:rsidR="00BF3419">
        <w:rPr>
          <w:rFonts w:ascii="Times New Roman" w:eastAsia="Times New Roman" w:hAnsi="Times New Roman" w:cs="Times New Roman"/>
          <w:i/>
          <w:sz w:val="24"/>
          <w:szCs w:val="24"/>
        </w:rPr>
        <w:t>dynamic, developmental nature</w:t>
      </w:r>
      <w:r w:rsidR="00BF3419">
        <w:rPr>
          <w:rFonts w:ascii="Times New Roman" w:eastAsia="Times New Roman" w:hAnsi="Times New Roman" w:cs="Times New Roman"/>
          <w:sz w:val="24"/>
          <w:szCs w:val="24"/>
        </w:rPr>
        <w:t xml:space="preserve"> of student agency. Agency is not something students possess once and for all but rather capabilities that they can develop from their agentic orientations in </w:t>
      </w:r>
      <w:r w:rsidR="00FE1F9A">
        <w:rPr>
          <w:rFonts w:ascii="Times New Roman" w:eastAsia="Times New Roman" w:hAnsi="Times New Roman" w:cs="Times New Roman"/>
          <w:sz w:val="24"/>
          <w:szCs w:val="24"/>
        </w:rPr>
        <w:t>interaction</w:t>
      </w:r>
      <w:r w:rsidR="00BF3419">
        <w:rPr>
          <w:rFonts w:ascii="Times New Roman" w:eastAsia="Times New Roman" w:hAnsi="Times New Roman" w:cs="Times New Roman"/>
          <w:sz w:val="24"/>
          <w:szCs w:val="24"/>
        </w:rPr>
        <w:t xml:space="preserve"> with “structures”. </w:t>
      </w:r>
      <w:r w:rsidR="00FE1F9A">
        <w:rPr>
          <w:rFonts w:ascii="Times New Roman" w:eastAsia="Times New Roman" w:hAnsi="Times New Roman" w:cs="Times New Roman"/>
          <w:sz w:val="24"/>
          <w:szCs w:val="24"/>
        </w:rPr>
        <w:t xml:space="preserve">In other words, higher education institutions can create conditions for students’ developing valuable capabilities and or they can purposefully target development of capabilities as an expected student outcome. </w:t>
      </w:r>
      <w:r w:rsidR="00ED269A">
        <w:rPr>
          <w:rFonts w:ascii="Times New Roman" w:eastAsia="Times New Roman" w:hAnsi="Times New Roman" w:cs="Times New Roman"/>
          <w:sz w:val="24"/>
          <w:szCs w:val="24"/>
        </w:rPr>
        <w:t>To capture this dynamic, developmental nature of student agency, e</w:t>
      </w:r>
      <w:r w:rsidR="00BF3419">
        <w:rPr>
          <w:rFonts w:ascii="Times New Roman" w:eastAsia="Times New Roman" w:hAnsi="Times New Roman" w:cs="Times New Roman"/>
          <w:sz w:val="24"/>
          <w:szCs w:val="24"/>
        </w:rPr>
        <w:t>mpirical research based on the student agency theory should ideally adopt a fully longitudinal, fully mixed methods approach</w:t>
      </w:r>
      <w:r w:rsidR="00ED269A">
        <w:rPr>
          <w:rFonts w:ascii="Times New Roman" w:eastAsia="Times New Roman" w:hAnsi="Times New Roman" w:cs="Times New Roman"/>
          <w:sz w:val="24"/>
          <w:szCs w:val="24"/>
        </w:rPr>
        <w:t xml:space="preserve"> </w:t>
      </w:r>
      <w:r w:rsidR="00BF3419">
        <w:rPr>
          <w:rFonts w:ascii="Times New Roman" w:eastAsia="Times New Roman" w:hAnsi="Times New Roman" w:cs="Times New Roman"/>
          <w:sz w:val="24"/>
          <w:szCs w:val="24"/>
        </w:rPr>
        <w:t>informed by the capabilities approach (</w:t>
      </w:r>
      <w:proofErr w:type="spellStart"/>
      <w:r w:rsidR="00BF3419">
        <w:rPr>
          <w:rFonts w:ascii="Times New Roman" w:eastAsia="Times New Roman" w:hAnsi="Times New Roman" w:cs="Times New Roman"/>
          <w:sz w:val="24"/>
          <w:szCs w:val="24"/>
        </w:rPr>
        <w:t>Comim</w:t>
      </w:r>
      <w:proofErr w:type="spellEnd"/>
      <w:r w:rsidR="00BF3419">
        <w:rPr>
          <w:rFonts w:ascii="Times New Roman" w:eastAsia="Times New Roman" w:hAnsi="Times New Roman" w:cs="Times New Roman"/>
          <w:sz w:val="24"/>
          <w:szCs w:val="24"/>
        </w:rPr>
        <w:t xml:space="preserve"> 2008)</w:t>
      </w:r>
      <w:r w:rsidR="00A06FF6">
        <w:rPr>
          <w:rFonts w:ascii="Times New Roman" w:eastAsia="Times New Roman" w:hAnsi="Times New Roman" w:cs="Times New Roman"/>
          <w:sz w:val="24"/>
          <w:szCs w:val="24"/>
        </w:rPr>
        <w:t xml:space="preserve"> to capture how students make sense of changes in their capabilities over time and time projections of future life plans</w:t>
      </w:r>
      <w:r w:rsidR="00BF3419">
        <w:rPr>
          <w:rFonts w:ascii="Times New Roman" w:eastAsia="Times New Roman" w:hAnsi="Times New Roman" w:cs="Times New Roman"/>
          <w:sz w:val="24"/>
          <w:szCs w:val="24"/>
        </w:rPr>
        <w:t xml:space="preserve">. </w:t>
      </w:r>
      <w:proofErr w:type="spellStart"/>
      <w:r w:rsidR="00ED269A">
        <w:rPr>
          <w:rFonts w:ascii="Times New Roman" w:eastAsia="Times New Roman" w:hAnsi="Times New Roman" w:cs="Times New Roman"/>
          <w:i/>
          <w:sz w:val="24"/>
          <w:szCs w:val="24"/>
        </w:rPr>
        <w:t>T</w:t>
      </w:r>
      <w:r w:rsidR="00BF3419">
        <w:rPr>
          <w:rFonts w:ascii="Times New Roman" w:eastAsia="Times New Roman" w:hAnsi="Times New Roman" w:cs="Times New Roman"/>
          <w:i/>
          <w:sz w:val="24"/>
          <w:szCs w:val="24"/>
        </w:rPr>
        <w:t>imescapes</w:t>
      </w:r>
      <w:proofErr w:type="spellEnd"/>
      <w:r w:rsidR="00BF3419">
        <w:rPr>
          <w:rFonts w:ascii="Times New Roman" w:eastAsia="Times New Roman" w:hAnsi="Times New Roman" w:cs="Times New Roman"/>
          <w:i/>
          <w:sz w:val="24"/>
          <w:szCs w:val="24"/>
        </w:rPr>
        <w:t xml:space="preserve"> perspective</w:t>
      </w:r>
      <w:r w:rsidR="00BF3419">
        <w:rPr>
          <w:rFonts w:ascii="Times New Roman" w:eastAsia="Times New Roman" w:hAnsi="Times New Roman" w:cs="Times New Roman"/>
          <w:sz w:val="24"/>
          <w:szCs w:val="24"/>
        </w:rPr>
        <w:t xml:space="preserve"> (Neale</w:t>
      </w:r>
      <w:r w:rsidR="00D45BA5">
        <w:rPr>
          <w:rFonts w:ascii="Times New Roman" w:eastAsia="Times New Roman" w:hAnsi="Times New Roman" w:cs="Times New Roman"/>
          <w:sz w:val="24"/>
          <w:szCs w:val="24"/>
        </w:rPr>
        <w:t xml:space="preserve"> et al </w:t>
      </w:r>
      <w:r w:rsidR="00BF3419">
        <w:rPr>
          <w:rFonts w:ascii="Times New Roman" w:eastAsia="Times New Roman" w:hAnsi="Times New Roman" w:cs="Times New Roman"/>
          <w:sz w:val="24"/>
          <w:szCs w:val="24"/>
        </w:rPr>
        <w:t xml:space="preserve">2012) </w:t>
      </w:r>
      <w:r w:rsidR="00ED269A">
        <w:rPr>
          <w:rFonts w:ascii="Times New Roman" w:eastAsia="Times New Roman" w:hAnsi="Times New Roman" w:cs="Times New Roman"/>
          <w:sz w:val="24"/>
          <w:szCs w:val="24"/>
        </w:rPr>
        <w:t>can add important additional insights</w:t>
      </w:r>
      <w:r w:rsidR="00A06FF6">
        <w:rPr>
          <w:rFonts w:ascii="Times New Roman" w:eastAsia="Times New Roman" w:hAnsi="Times New Roman" w:cs="Times New Roman"/>
          <w:sz w:val="24"/>
          <w:szCs w:val="24"/>
        </w:rPr>
        <w:t xml:space="preserve"> to such research</w:t>
      </w:r>
      <w:r w:rsidR="00ED269A">
        <w:rPr>
          <w:rFonts w:ascii="Times New Roman" w:eastAsia="Times New Roman" w:hAnsi="Times New Roman" w:cs="Times New Roman"/>
          <w:sz w:val="24"/>
          <w:szCs w:val="24"/>
        </w:rPr>
        <w:t xml:space="preserve"> </w:t>
      </w:r>
      <w:r w:rsidR="00A06FF6">
        <w:rPr>
          <w:rFonts w:ascii="Times New Roman" w:eastAsia="Times New Roman" w:hAnsi="Times New Roman" w:cs="Times New Roman"/>
          <w:sz w:val="24"/>
          <w:szCs w:val="24"/>
        </w:rPr>
        <w:t xml:space="preserve">by </w:t>
      </w:r>
      <w:r w:rsidR="00BF3419">
        <w:rPr>
          <w:rFonts w:ascii="Times New Roman" w:eastAsia="Times New Roman" w:hAnsi="Times New Roman" w:cs="Times New Roman"/>
          <w:sz w:val="24"/>
          <w:szCs w:val="24"/>
        </w:rPr>
        <w:t>captur</w:t>
      </w:r>
      <w:r w:rsidR="00A06FF6">
        <w:rPr>
          <w:rFonts w:ascii="Times New Roman" w:eastAsia="Times New Roman" w:hAnsi="Times New Roman" w:cs="Times New Roman"/>
          <w:sz w:val="24"/>
          <w:szCs w:val="24"/>
        </w:rPr>
        <w:t>ing</w:t>
      </w:r>
      <w:r w:rsidR="00BF3419">
        <w:rPr>
          <w:rFonts w:ascii="Times New Roman" w:eastAsia="Times New Roman" w:hAnsi="Times New Roman" w:cs="Times New Roman"/>
          <w:sz w:val="24"/>
          <w:szCs w:val="24"/>
        </w:rPr>
        <w:t xml:space="preserve"> students’ perceptions of </w:t>
      </w:r>
      <w:r w:rsidR="00A06FF6">
        <w:rPr>
          <w:rFonts w:ascii="Times New Roman" w:eastAsia="Times New Roman" w:hAnsi="Times New Roman" w:cs="Times New Roman"/>
          <w:sz w:val="24"/>
          <w:szCs w:val="24"/>
        </w:rPr>
        <w:t xml:space="preserve"> </w:t>
      </w:r>
      <w:r w:rsidR="00BF3419">
        <w:rPr>
          <w:rFonts w:ascii="Times New Roman" w:eastAsia="Times New Roman" w:hAnsi="Times New Roman" w:cs="Times New Roman"/>
          <w:sz w:val="24"/>
          <w:szCs w:val="24"/>
        </w:rPr>
        <w:t>“time structures”, how they navigate these, and if and how they challenge these. This is to explore the construction and regularization of time as a means of social coordination of student agency, students’ sense of control over their time,</w:t>
      </w:r>
      <w:r w:rsidR="00A06FF6">
        <w:rPr>
          <w:rFonts w:ascii="Times New Roman" w:eastAsia="Times New Roman" w:hAnsi="Times New Roman" w:cs="Times New Roman"/>
          <w:sz w:val="24"/>
          <w:szCs w:val="24"/>
        </w:rPr>
        <w:t xml:space="preserve"> and</w:t>
      </w:r>
      <w:r w:rsidR="00BF3419">
        <w:rPr>
          <w:rFonts w:ascii="Times New Roman" w:eastAsia="Times New Roman" w:hAnsi="Times New Roman" w:cs="Times New Roman"/>
          <w:sz w:val="24"/>
          <w:szCs w:val="24"/>
        </w:rPr>
        <w:t xml:space="preserve"> timing, tempo and rhythm</w:t>
      </w:r>
      <w:r w:rsidR="00A06FF6">
        <w:rPr>
          <w:rFonts w:ascii="Times New Roman" w:eastAsia="Times New Roman" w:hAnsi="Times New Roman" w:cs="Times New Roman"/>
          <w:sz w:val="24"/>
          <w:szCs w:val="24"/>
        </w:rPr>
        <w:t xml:space="preserve"> of the activities they choose to engage in</w:t>
      </w:r>
      <w:r w:rsidR="00BF3419">
        <w:rPr>
          <w:rFonts w:ascii="Times New Roman" w:eastAsia="Times New Roman" w:hAnsi="Times New Roman" w:cs="Times New Roman"/>
          <w:sz w:val="24"/>
          <w:szCs w:val="24"/>
        </w:rPr>
        <w:t xml:space="preserve"> (Neale et al. 2012). Equally important to explore are the everyday and mundane activities and their significance for </w:t>
      </w:r>
      <w:r w:rsidR="00A06FF6">
        <w:rPr>
          <w:rFonts w:ascii="Times New Roman" w:eastAsia="Times New Roman" w:hAnsi="Times New Roman" w:cs="Times New Roman"/>
          <w:sz w:val="24"/>
          <w:szCs w:val="24"/>
        </w:rPr>
        <w:t xml:space="preserve">student </w:t>
      </w:r>
      <w:r w:rsidR="00BF3419">
        <w:rPr>
          <w:rFonts w:ascii="Times New Roman" w:eastAsia="Times New Roman" w:hAnsi="Times New Roman" w:cs="Times New Roman"/>
          <w:sz w:val="24"/>
          <w:szCs w:val="24"/>
        </w:rPr>
        <w:t>agency (Clegg 2005).</w:t>
      </w:r>
    </w:p>
    <w:p w14:paraId="7F50BD82" w14:textId="77777777" w:rsidR="00474D60" w:rsidRDefault="00890FAD">
      <w:pPr>
        <w:spacing w:after="1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Third</w:t>
      </w:r>
      <w:r w:rsidR="00BF3419">
        <w:rPr>
          <w:rFonts w:ascii="Times New Roman" w:eastAsia="Times New Roman" w:hAnsi="Times New Roman" w:cs="Times New Roman"/>
          <w:sz w:val="24"/>
          <w:szCs w:val="24"/>
        </w:rPr>
        <w:t xml:space="preserve">, student agency is </w:t>
      </w:r>
      <w:r w:rsidR="00BF3419">
        <w:rPr>
          <w:rFonts w:ascii="Times New Roman" w:eastAsia="Times New Roman" w:hAnsi="Times New Roman" w:cs="Times New Roman"/>
          <w:i/>
          <w:sz w:val="24"/>
          <w:szCs w:val="24"/>
        </w:rPr>
        <w:t xml:space="preserve">socio-structurally and relationally conditioned. </w:t>
      </w:r>
      <w:r w:rsidR="00BF3419">
        <w:rPr>
          <w:rFonts w:ascii="Times New Roman" w:eastAsia="Times New Roman" w:hAnsi="Times New Roman" w:cs="Times New Roman"/>
          <w:sz w:val="24"/>
          <w:szCs w:val="24"/>
        </w:rPr>
        <w:t xml:space="preserve">Student agency is in continuous interplay with structures of academic and social life within higher education institutions: students’ capabilities can be extended or constrained by these structures, and students also – by enacting their agency – can have effects on these structures and processes. The focus here is on structures of academic and social life on campus that enable persistent patterns of behavior and interactions within higher education institutions (Hurtado 2007, 99-100) and as such have “treatment effects” on student outcomes. These social structures include (Hurtado 2007): (1) formal academic context, (2) informal academic environment, (3) formal social context, including structural features of higher education institutions, and (4) informal social context. </w:t>
      </w:r>
      <w:r w:rsidR="00BF3419">
        <w:rPr>
          <w:rFonts w:ascii="Times New Roman" w:eastAsia="Times New Roman" w:hAnsi="Times New Roman" w:cs="Times New Roman"/>
          <w:sz w:val="24"/>
          <w:szCs w:val="24"/>
          <w:highlight w:val="white"/>
        </w:rPr>
        <w:t>Formal academic structures include institutional rules and procedures recorded in statutory documents and policies concerning institutional mission, study progr</w:t>
      </w:r>
      <w:r>
        <w:rPr>
          <w:rFonts w:ascii="Times New Roman" w:eastAsia="Times New Roman" w:hAnsi="Times New Roman" w:cs="Times New Roman"/>
          <w:sz w:val="24"/>
          <w:szCs w:val="24"/>
          <w:highlight w:val="white"/>
        </w:rPr>
        <w:t>a</w:t>
      </w:r>
      <w:r w:rsidR="00BF3419">
        <w:rPr>
          <w:rFonts w:ascii="Times New Roman" w:eastAsia="Times New Roman" w:hAnsi="Times New Roman" w:cs="Times New Roman"/>
          <w:sz w:val="24"/>
          <w:szCs w:val="24"/>
          <w:highlight w:val="white"/>
        </w:rPr>
        <w:t>ms, student rights and responsibilities, etc. Informal academic  structures are often referred to as the “hidden curriculum”, i.e., implicit rules that govern academic life. Formal social structures refer to structural features of colleges such as institutional size,  residences, student organizations, etc. Finally, informal social structures include peer groups, social nature of student behavior and interactions, such as  personal friendship groups.</w:t>
      </w:r>
    </w:p>
    <w:p w14:paraId="5E20CE74" w14:textId="0D8B3C87" w:rsidR="00170769" w:rsidRPr="00A06FF6" w:rsidRDefault="00474D60">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capture this socio-structurally and relationally conditioned nature of student agency, empirical research based on the student agency theory should ideally be conducted in an inter-institutional,  international comparative and disciplinary comparative perspective. In other words, it should capture the “place” and “space” perspectives in research on student agency. </w:t>
      </w:r>
    </w:p>
    <w:p w14:paraId="567ACE81" w14:textId="310303A8" w:rsidR="00474D60" w:rsidRDefault="00BF3419">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“place perspective” in STUDENTAGENCY model </w:t>
      </w:r>
      <w:r w:rsidR="00507EAC">
        <w:rPr>
          <w:rFonts w:ascii="Times New Roman" w:eastAsia="Times New Roman" w:hAnsi="Times New Roman" w:cs="Times New Roman"/>
          <w:sz w:val="24"/>
          <w:szCs w:val="24"/>
        </w:rPr>
        <w:t>recognizes</w:t>
      </w:r>
      <w:r>
        <w:rPr>
          <w:rFonts w:ascii="Times New Roman" w:eastAsia="Times New Roman" w:hAnsi="Times New Roman" w:cs="Times New Roman"/>
          <w:sz w:val="24"/>
          <w:szCs w:val="24"/>
        </w:rPr>
        <w:t xml:space="preserve"> the diversity of higher education institutions and their structural features</w:t>
      </w:r>
      <w:r w:rsidR="00474D60">
        <w:rPr>
          <w:rFonts w:ascii="Times New Roman" w:eastAsia="Times New Roman" w:hAnsi="Times New Roman" w:cs="Times New Roman"/>
          <w:sz w:val="24"/>
          <w:szCs w:val="24"/>
        </w:rPr>
        <w:t>, as well as the diversity in disciplinary practices within the same higher education institutions</w:t>
      </w:r>
      <w:r>
        <w:rPr>
          <w:rFonts w:ascii="Times New Roman" w:eastAsia="Times New Roman" w:hAnsi="Times New Roman" w:cs="Times New Roman"/>
          <w:sz w:val="24"/>
          <w:szCs w:val="24"/>
        </w:rPr>
        <w:t xml:space="preserve">. These </w:t>
      </w:r>
      <w:r w:rsidR="00474D60">
        <w:rPr>
          <w:rFonts w:ascii="Times New Roman" w:eastAsia="Times New Roman" w:hAnsi="Times New Roman" w:cs="Times New Roman"/>
          <w:sz w:val="24"/>
          <w:szCs w:val="24"/>
        </w:rPr>
        <w:t>inter-institutional and inter-disciplinary differences are reflected in</w:t>
      </w:r>
      <w:r>
        <w:rPr>
          <w:rFonts w:ascii="Times New Roman" w:eastAsia="Times New Roman" w:hAnsi="Times New Roman" w:cs="Times New Roman"/>
          <w:sz w:val="24"/>
          <w:szCs w:val="24"/>
        </w:rPr>
        <w:t xml:space="preserve"> institutional cultural scripts that inform students’ perceived repertoires for action – cultural schemes that students internalize and on the basis of which they develop preferences, expectations, </w:t>
      </w:r>
      <w:r w:rsidR="00507EAC">
        <w:rPr>
          <w:rFonts w:ascii="Times New Roman" w:eastAsia="Times New Roman" w:hAnsi="Times New Roman" w:cs="Times New Roman"/>
          <w:sz w:val="24"/>
          <w:szCs w:val="24"/>
        </w:rPr>
        <w:t>behavior</w:t>
      </w:r>
      <w:r>
        <w:rPr>
          <w:rFonts w:ascii="Times New Roman" w:eastAsia="Times New Roman" w:hAnsi="Times New Roman" w:cs="Times New Roman"/>
          <w:sz w:val="24"/>
          <w:szCs w:val="24"/>
        </w:rPr>
        <w:t xml:space="preserve"> – an understanding of how to be a student in that university/college. As suggested by </w:t>
      </w:r>
      <w:proofErr w:type="spellStart"/>
      <w:r>
        <w:rPr>
          <w:rFonts w:ascii="Times New Roman" w:eastAsia="Times New Roman" w:hAnsi="Times New Roman" w:cs="Times New Roman"/>
          <w:sz w:val="24"/>
          <w:szCs w:val="24"/>
        </w:rPr>
        <w:t>Swidler</w:t>
      </w:r>
      <w:proofErr w:type="spellEnd"/>
      <w:r>
        <w:rPr>
          <w:rFonts w:ascii="Times New Roman" w:eastAsia="Times New Roman" w:hAnsi="Times New Roman" w:cs="Times New Roman"/>
          <w:sz w:val="24"/>
          <w:szCs w:val="24"/>
        </w:rPr>
        <w:t xml:space="preserve"> (1986: 273), culture does not influence action by simply prescribing values or end goals; instead, it provides a “toolkit” of skills, habits, rituals, and views that enable individuals to navigate various situations and scenarios. </w:t>
      </w:r>
    </w:p>
    <w:p w14:paraId="248D5E47" w14:textId="0105543E" w:rsidR="00507EAC" w:rsidRDefault="00890FAD">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BF3419">
        <w:rPr>
          <w:rFonts w:ascii="Times New Roman" w:eastAsia="Times New Roman" w:hAnsi="Times New Roman" w:cs="Times New Roman"/>
          <w:sz w:val="24"/>
          <w:szCs w:val="24"/>
        </w:rPr>
        <w:t xml:space="preserve">igher education institutions as social institutions (as “places”) are embedded within a broader cultural and political context of higher education “space”. The concept of “space” offers a particular analytical lens to study the interconnectivity between student agency and broader cultural and political scripts captured in, for example, government policies but also in implicit understandings by policy makers and higher education stakeholders of student agency, higher education processes and structures, and desired student outcomes (Brooks 2021). Particularly important for research on student agency is to capture the cultural understandings of student-teacher and student-higher education institution relationships, as well as the cultural understanding of student freedom to learn </w:t>
      </w:r>
      <w:r w:rsidR="00BF3419">
        <w:rPr>
          <w:rFonts w:ascii="Times New Roman" w:eastAsia="Times New Roman" w:hAnsi="Times New Roman" w:cs="Times New Roman"/>
          <w:i/>
          <w:sz w:val="24"/>
          <w:szCs w:val="24"/>
        </w:rPr>
        <w:t>(“</w:t>
      </w:r>
      <w:proofErr w:type="spellStart"/>
      <w:r w:rsidR="00BF3419">
        <w:rPr>
          <w:rFonts w:ascii="Times New Roman" w:eastAsia="Times New Roman" w:hAnsi="Times New Roman" w:cs="Times New Roman"/>
          <w:i/>
          <w:sz w:val="24"/>
          <w:szCs w:val="24"/>
        </w:rPr>
        <w:t>Lehrnfreiheit</w:t>
      </w:r>
      <w:proofErr w:type="spellEnd"/>
      <w:r w:rsidR="00BF3419">
        <w:rPr>
          <w:rFonts w:ascii="Times New Roman" w:eastAsia="Times New Roman" w:hAnsi="Times New Roman" w:cs="Times New Roman"/>
          <w:i/>
          <w:sz w:val="24"/>
          <w:szCs w:val="24"/>
        </w:rPr>
        <w:t>”).</w:t>
      </w:r>
      <w:r w:rsidR="00BF3419">
        <w:rPr>
          <w:rFonts w:ascii="Times New Roman" w:eastAsia="Times New Roman" w:hAnsi="Times New Roman" w:cs="Times New Roman"/>
          <w:sz w:val="24"/>
          <w:szCs w:val="24"/>
        </w:rPr>
        <w:t xml:space="preserve"> The “space perspective” in STUDENTAGENCY model focuses on cultural scripts and higher education policies related to student agency and student outcomes in higher education, but also explores whether and how students shape these cultural and political scripts. </w:t>
      </w:r>
      <w:r w:rsidR="00D844F8">
        <w:rPr>
          <w:rFonts w:ascii="Times New Roman" w:eastAsia="Times New Roman" w:hAnsi="Times New Roman" w:cs="Times New Roman"/>
          <w:sz w:val="24"/>
          <w:szCs w:val="24"/>
        </w:rPr>
        <w:t xml:space="preserve">A promising new approach here is “method with place” to explore </w:t>
      </w:r>
      <w:r w:rsidR="00D844F8">
        <w:rPr>
          <w:rFonts w:ascii="Times New Roman" w:eastAsia="Times New Roman" w:hAnsi="Times New Roman" w:cs="Times New Roman"/>
          <w:sz w:val="24"/>
          <w:szCs w:val="24"/>
        </w:rPr>
        <w:lastRenderedPageBreak/>
        <w:t xml:space="preserve">the interplay between student agency and the emerging new structures in transnational higher education and student mobilities. </w:t>
      </w:r>
    </w:p>
    <w:p w14:paraId="6E2EFC1E" w14:textId="77777777" w:rsidR="00170769" w:rsidRDefault="00BF3419">
      <w:pPr>
        <w:pStyle w:val="Heading1"/>
        <w:jc w:val="both"/>
        <w:rPr>
          <w:rFonts w:ascii="Times New Roman" w:eastAsia="Times New Roman" w:hAnsi="Times New Roman" w:cs="Times New Roman"/>
          <w:sz w:val="18"/>
          <w:szCs w:val="18"/>
          <w:highlight w:val="white"/>
        </w:rPr>
      </w:pPr>
      <w:bookmarkStart w:id="9" w:name="_njbunfcl2xh2" w:colFirst="0" w:colLast="0"/>
      <w:bookmarkEnd w:id="9"/>
      <w:r>
        <w:t>Conclusion</w:t>
      </w:r>
    </w:p>
    <w:p w14:paraId="0C6CD43C" w14:textId="28A0FCFF" w:rsidR="00B57146" w:rsidRDefault="00890FAD" w:rsidP="008E191C">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Some </w:t>
      </w:r>
      <w:r w:rsidR="00BF3419">
        <w:rPr>
          <w:rFonts w:ascii="Times New Roman" w:eastAsia="Times New Roman" w:hAnsi="Times New Roman" w:cs="Times New Roman"/>
          <w:sz w:val="24"/>
          <w:szCs w:val="24"/>
          <w:highlight w:val="white"/>
        </w:rPr>
        <w:t>of the persistent questions in history of social thought has been how societies maintain the wellbeing of their individuals and what makes societies successful. In a</w:t>
      </w:r>
      <w:r w:rsidR="008E191C">
        <w:rPr>
          <w:rFonts w:ascii="Times New Roman" w:eastAsia="Times New Roman" w:hAnsi="Times New Roman" w:cs="Times New Roman"/>
          <w:sz w:val="24"/>
          <w:szCs w:val="24"/>
          <w:highlight w:val="white"/>
        </w:rPr>
        <w:t xml:space="preserve"> </w:t>
      </w:r>
      <w:r w:rsidR="00BF3419">
        <w:rPr>
          <w:rFonts w:ascii="Times New Roman" w:eastAsia="Times New Roman" w:hAnsi="Times New Roman" w:cs="Times New Roman"/>
          <w:sz w:val="24"/>
          <w:szCs w:val="24"/>
          <w:highlight w:val="white"/>
        </w:rPr>
        <w:t xml:space="preserve">book on successful societies, Hall and Lamont (2009, 2) define a successful society as </w:t>
      </w:r>
      <w:r w:rsidR="002939BE">
        <w:rPr>
          <w:rFonts w:ascii="Times New Roman" w:eastAsia="Times New Roman" w:hAnsi="Times New Roman" w:cs="Times New Roman"/>
          <w:sz w:val="24"/>
          <w:szCs w:val="24"/>
          <w:highlight w:val="white"/>
        </w:rPr>
        <w:t>‘</w:t>
      </w:r>
      <w:r w:rsidR="00BF3419">
        <w:rPr>
          <w:rFonts w:ascii="Times New Roman" w:eastAsia="Times New Roman" w:hAnsi="Times New Roman" w:cs="Times New Roman"/>
          <w:sz w:val="24"/>
          <w:szCs w:val="24"/>
          <w:highlight w:val="white"/>
        </w:rPr>
        <w:t>one that enhances the capabilities of people to pursue the goals important to their own lives, whether through individual or collective action</w:t>
      </w:r>
      <w:r w:rsidR="002939BE">
        <w:rPr>
          <w:rFonts w:ascii="Times New Roman" w:eastAsia="Times New Roman" w:hAnsi="Times New Roman" w:cs="Times New Roman"/>
          <w:sz w:val="24"/>
          <w:szCs w:val="24"/>
          <w:highlight w:val="white"/>
        </w:rPr>
        <w:t>’</w:t>
      </w:r>
      <w:r w:rsidR="00BF3419">
        <w:rPr>
          <w:rFonts w:ascii="Times New Roman" w:eastAsia="Times New Roman" w:hAnsi="Times New Roman" w:cs="Times New Roman"/>
          <w:sz w:val="24"/>
          <w:szCs w:val="24"/>
          <w:highlight w:val="white"/>
        </w:rPr>
        <w:t xml:space="preserve">. This definition originates from the liberal values of modern Western societies in which agentic individuals – their choices and capabilities – are seen as central to political democracy, open market economy and cultural freedom (Bromley et al. 2011 cited in Klemenčič 2018). If we accept this normative definition of successful societies then education can be considered one of the prime social institutions to contribute to the development of successful societies. Education institutions are uniquely placed to </w:t>
      </w:r>
      <w:r w:rsidR="008E191C">
        <w:rPr>
          <w:rFonts w:ascii="Times New Roman" w:eastAsia="Times New Roman" w:hAnsi="Times New Roman" w:cs="Times New Roman"/>
          <w:sz w:val="24"/>
          <w:szCs w:val="24"/>
          <w:highlight w:val="white"/>
        </w:rPr>
        <w:t>help students develop</w:t>
      </w:r>
      <w:r w:rsidR="00BF3419">
        <w:rPr>
          <w:rFonts w:ascii="Times New Roman" w:eastAsia="Times New Roman" w:hAnsi="Times New Roman" w:cs="Times New Roman"/>
          <w:sz w:val="24"/>
          <w:szCs w:val="24"/>
          <w:highlight w:val="white"/>
        </w:rPr>
        <w:t xml:space="preserve"> agentic capabilities, that is the capabilities, as posited by Hall and Lamont, to pursue the goals important to them</w:t>
      </w:r>
      <w:r w:rsidR="0036425F">
        <w:rPr>
          <w:rFonts w:ascii="Times New Roman" w:eastAsia="Times New Roman" w:hAnsi="Times New Roman" w:cs="Times New Roman"/>
          <w:sz w:val="24"/>
          <w:szCs w:val="24"/>
          <w:highlight w:val="white"/>
        </w:rPr>
        <w:t xml:space="preserve"> during </w:t>
      </w:r>
      <w:r w:rsidR="008E191C">
        <w:rPr>
          <w:rFonts w:ascii="Times New Roman" w:eastAsia="Times New Roman" w:hAnsi="Times New Roman" w:cs="Times New Roman"/>
          <w:sz w:val="24"/>
          <w:szCs w:val="24"/>
          <w:highlight w:val="white"/>
        </w:rPr>
        <w:t>their education journey and beyond</w:t>
      </w:r>
      <w:r w:rsidR="00BF3419">
        <w:rPr>
          <w:rFonts w:ascii="Times New Roman" w:eastAsia="Times New Roman" w:hAnsi="Times New Roman" w:cs="Times New Roman"/>
          <w:sz w:val="24"/>
          <w:szCs w:val="24"/>
          <w:highlight w:val="white"/>
        </w:rPr>
        <w:t>.</w:t>
      </w:r>
      <w:r w:rsidR="002939BE">
        <w:rPr>
          <w:rFonts w:ascii="Times New Roman" w:eastAsia="Times New Roman" w:hAnsi="Times New Roman" w:cs="Times New Roman"/>
          <w:sz w:val="24"/>
          <w:szCs w:val="24"/>
          <w:highlight w:val="white"/>
        </w:rPr>
        <w:t xml:space="preserve"> </w:t>
      </w:r>
    </w:p>
    <w:p w14:paraId="6FA276B2" w14:textId="77777777" w:rsidR="00B57146" w:rsidRDefault="00B57146" w:rsidP="008E191C">
      <w:pPr>
        <w:jc w:val="both"/>
        <w:rPr>
          <w:rFonts w:ascii="Times New Roman" w:eastAsia="Times New Roman" w:hAnsi="Times New Roman" w:cs="Times New Roman"/>
          <w:sz w:val="24"/>
          <w:szCs w:val="24"/>
          <w:highlight w:val="white"/>
        </w:rPr>
      </w:pPr>
    </w:p>
    <w:p w14:paraId="5D160A7E" w14:textId="706FBF66" w:rsidR="008E191C" w:rsidRDefault="008E191C" w:rsidP="008E19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If</w:t>
      </w:r>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Marginson</w:t>
      </w:r>
      <w:proofErr w:type="spellEnd"/>
      <w:r>
        <w:rPr>
          <w:rFonts w:ascii="Times New Roman" w:eastAsia="Times New Roman" w:hAnsi="Times New Roman" w:cs="Times New Roman"/>
          <w:sz w:val="24"/>
          <w:szCs w:val="24"/>
        </w:rPr>
        <w:t xml:space="preserve"> (2014, 2018, forthcoming) suggests, a core purpose of higher education is students’ self-formation, th</w:t>
      </w:r>
      <w:r w:rsidR="0036425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r w:rsidRPr="008E191C">
        <w:rPr>
          <w:rFonts w:ascii="Times New Roman" w:eastAsia="Times New Roman" w:hAnsi="Times New Roman" w:cs="Times New Roman"/>
          <w:iCs/>
          <w:sz w:val="24"/>
          <w:szCs w:val="24"/>
        </w:rPr>
        <w:t xml:space="preserve">student agency is both a condition </w:t>
      </w:r>
      <w:r w:rsidR="0036425F">
        <w:rPr>
          <w:rFonts w:ascii="Times New Roman" w:eastAsia="Times New Roman" w:hAnsi="Times New Roman" w:cs="Times New Roman"/>
          <w:iCs/>
          <w:sz w:val="24"/>
          <w:szCs w:val="24"/>
        </w:rPr>
        <w:t>for</w:t>
      </w:r>
      <w:r w:rsidRPr="008E191C">
        <w:rPr>
          <w:rFonts w:ascii="Times New Roman" w:eastAsia="Times New Roman" w:hAnsi="Times New Roman" w:cs="Times New Roman"/>
          <w:iCs/>
          <w:sz w:val="24"/>
          <w:szCs w:val="24"/>
        </w:rPr>
        <w:t xml:space="preserve"> students’ self-formation and an outcome of it </w:t>
      </w:r>
      <w:r>
        <w:rPr>
          <w:rFonts w:ascii="Times New Roman" w:eastAsia="Times New Roman" w:hAnsi="Times New Roman" w:cs="Times New Roman"/>
          <w:sz w:val="24"/>
          <w:szCs w:val="24"/>
        </w:rPr>
        <w:t xml:space="preserve">(Klemenčič 2015a: 17). Such a conception of “higher education as students’ self-formation” challenges the utilitarian notions of higher education in service to society and economy. It also changes the theoretical construct of student agency as merely a condition for society-serving student outcomes to something that can be developed as part of students’ self-formation.  </w:t>
      </w:r>
    </w:p>
    <w:p w14:paraId="319D6C60" w14:textId="77777777" w:rsidR="008E191C" w:rsidRDefault="008E191C" w:rsidP="008E191C">
      <w:pPr>
        <w:jc w:val="both"/>
        <w:rPr>
          <w:rFonts w:ascii="Times New Roman" w:eastAsia="Times New Roman" w:hAnsi="Times New Roman" w:cs="Times New Roman"/>
          <w:sz w:val="24"/>
          <w:szCs w:val="24"/>
          <w:highlight w:val="white"/>
        </w:rPr>
      </w:pPr>
    </w:p>
    <w:p w14:paraId="093CE0BC" w14:textId="7EB06CB8" w:rsidR="004B6A1D" w:rsidRPr="004B6A1D" w:rsidRDefault="004B6A1D" w:rsidP="004B6A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 capabilities approach (Sen 1999)</w:t>
      </w:r>
      <w:r w:rsidR="001D12BB">
        <w:rPr>
          <w:rFonts w:ascii="Times New Roman" w:eastAsia="Times New Roman" w:hAnsi="Times New Roman" w:cs="Times New Roman"/>
          <w:sz w:val="24"/>
          <w:szCs w:val="24"/>
          <w:highlight w:val="white"/>
        </w:rPr>
        <w:t>, on which the theory of student agency build</w:t>
      </w:r>
      <w:r w:rsidR="0036425F">
        <w:rPr>
          <w:rFonts w:ascii="Times New Roman" w:eastAsia="Times New Roman" w:hAnsi="Times New Roman" w:cs="Times New Roman"/>
          <w:sz w:val="24"/>
          <w:szCs w:val="24"/>
          <w:highlight w:val="white"/>
        </w:rPr>
        <w:t>s</w:t>
      </w:r>
      <w:r w:rsidR="001D12B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submits that freedom to achieve wellbeing, which is of primary moral importance, is to be understood in terms of people’s capabilities </w:t>
      </w:r>
      <w:r w:rsidR="0036425F">
        <w:rPr>
          <w:rFonts w:ascii="Times New Roman" w:eastAsia="Times New Roman" w:hAnsi="Times New Roman" w:cs="Times New Roman"/>
          <w:sz w:val="24"/>
          <w:szCs w:val="24"/>
          <w:highlight w:val="white"/>
        </w:rPr>
        <w:t>as</w:t>
      </w:r>
      <w:r>
        <w:rPr>
          <w:rFonts w:ascii="Times New Roman" w:eastAsia="Times New Roman" w:hAnsi="Times New Roman" w:cs="Times New Roman"/>
          <w:sz w:val="24"/>
          <w:szCs w:val="24"/>
          <w:highlight w:val="white"/>
        </w:rPr>
        <w:t xml:space="preserve"> real opportunities to do and to be what they reason to value</w:t>
      </w:r>
      <w:r>
        <w:rPr>
          <w:rFonts w:ascii="Times New Roman" w:eastAsia="Times New Roman" w:hAnsi="Times New Roman" w:cs="Times New Roman"/>
          <w:sz w:val="24"/>
          <w:szCs w:val="24"/>
        </w:rPr>
        <w:t xml:space="preserve">. </w:t>
      </w:r>
      <w:r w:rsidR="0036425F">
        <w:rPr>
          <w:rFonts w:ascii="Times New Roman" w:eastAsia="Times New Roman" w:hAnsi="Times New Roman" w:cs="Times New Roman"/>
          <w:sz w:val="24"/>
          <w:szCs w:val="24"/>
        </w:rPr>
        <w:t>T</w:t>
      </w:r>
      <w:r>
        <w:rPr>
          <w:rFonts w:ascii="Times New Roman" w:eastAsia="Times New Roman" w:hAnsi="Times New Roman" w:cs="Times New Roman"/>
          <w:sz w:val="24"/>
          <w:szCs w:val="24"/>
        </w:rPr>
        <w:t>he capabilities approach e</w:t>
      </w:r>
      <w:r w:rsidR="001D12BB">
        <w:rPr>
          <w:rFonts w:ascii="Times New Roman" w:eastAsia="Times New Roman" w:hAnsi="Times New Roman" w:cs="Times New Roman"/>
          <w:sz w:val="24"/>
          <w:szCs w:val="24"/>
        </w:rPr>
        <w:t>nables us to explore</w:t>
      </w:r>
      <w:r w:rsidR="0036425F">
        <w:rPr>
          <w:rFonts w:ascii="Times New Roman" w:eastAsia="Times New Roman" w:hAnsi="Times New Roman" w:cs="Times New Roman"/>
          <w:sz w:val="24"/>
          <w:szCs w:val="24"/>
        </w:rPr>
        <w:t xml:space="preserve"> and expand our understanding of</w:t>
      </w:r>
      <w:r w:rsidR="001D12BB">
        <w:rPr>
          <w:rFonts w:ascii="Times New Roman" w:eastAsia="Times New Roman" w:hAnsi="Times New Roman" w:cs="Times New Roman"/>
          <w:sz w:val="24"/>
          <w:szCs w:val="24"/>
        </w:rPr>
        <w:t xml:space="preserve"> human flourishing (</w:t>
      </w:r>
      <w:proofErr w:type="spellStart"/>
      <w:r w:rsidR="001D12BB">
        <w:rPr>
          <w:rFonts w:ascii="Times New Roman" w:eastAsia="Times New Roman" w:hAnsi="Times New Roman" w:cs="Times New Roman"/>
          <w:sz w:val="24"/>
          <w:szCs w:val="24"/>
        </w:rPr>
        <w:t>Drèze</w:t>
      </w:r>
      <w:proofErr w:type="spellEnd"/>
      <w:r w:rsidR="001D12BB">
        <w:rPr>
          <w:rFonts w:ascii="Times New Roman" w:eastAsia="Times New Roman" w:hAnsi="Times New Roman" w:cs="Times New Roman"/>
          <w:sz w:val="24"/>
          <w:szCs w:val="24"/>
        </w:rPr>
        <w:t xml:space="preserve"> &amp; Sen 2013; Walker &amp; McLean 2013)</w:t>
      </w:r>
      <w:r w:rsidR="0036425F">
        <w:rPr>
          <w:rFonts w:ascii="Times New Roman" w:eastAsia="Times New Roman" w:hAnsi="Times New Roman" w:cs="Times New Roman"/>
          <w:sz w:val="24"/>
          <w:szCs w:val="24"/>
        </w:rPr>
        <w:t>. Similarly,</w:t>
      </w:r>
      <w:r w:rsidR="001D12BB">
        <w:rPr>
          <w:rFonts w:ascii="Times New Roman" w:eastAsia="Times New Roman" w:hAnsi="Times New Roman" w:cs="Times New Roman"/>
          <w:sz w:val="24"/>
          <w:szCs w:val="24"/>
        </w:rPr>
        <w:t xml:space="preserve"> the theory of student agency</w:t>
      </w:r>
      <w:r w:rsidR="0036425F">
        <w:rPr>
          <w:rFonts w:ascii="Times New Roman" w:eastAsia="Times New Roman" w:hAnsi="Times New Roman" w:cs="Times New Roman"/>
          <w:sz w:val="24"/>
          <w:szCs w:val="24"/>
        </w:rPr>
        <w:t xml:space="preserve">, </w:t>
      </w:r>
      <w:r w:rsidR="001D12BB">
        <w:rPr>
          <w:rFonts w:ascii="Times New Roman" w:eastAsia="Times New Roman" w:hAnsi="Times New Roman" w:cs="Times New Roman"/>
          <w:sz w:val="24"/>
          <w:szCs w:val="24"/>
        </w:rPr>
        <w:t>buil</w:t>
      </w:r>
      <w:r w:rsidR="0036425F">
        <w:rPr>
          <w:rFonts w:ascii="Times New Roman" w:eastAsia="Times New Roman" w:hAnsi="Times New Roman" w:cs="Times New Roman"/>
          <w:sz w:val="24"/>
          <w:szCs w:val="24"/>
        </w:rPr>
        <w:t>t</w:t>
      </w:r>
      <w:r w:rsidR="001D12BB">
        <w:rPr>
          <w:rFonts w:ascii="Times New Roman" w:eastAsia="Times New Roman" w:hAnsi="Times New Roman" w:cs="Times New Roman"/>
          <w:sz w:val="24"/>
          <w:szCs w:val="24"/>
        </w:rPr>
        <w:t xml:space="preserve"> on </w:t>
      </w:r>
      <w:r w:rsidR="0036425F">
        <w:rPr>
          <w:rFonts w:ascii="Times New Roman" w:eastAsia="Times New Roman" w:hAnsi="Times New Roman" w:cs="Times New Roman"/>
          <w:sz w:val="24"/>
          <w:szCs w:val="24"/>
        </w:rPr>
        <w:t xml:space="preserve">the </w:t>
      </w:r>
      <w:r w:rsidR="001D12BB">
        <w:rPr>
          <w:rFonts w:ascii="Times New Roman" w:eastAsia="Times New Roman" w:hAnsi="Times New Roman" w:cs="Times New Roman"/>
          <w:sz w:val="24"/>
          <w:szCs w:val="24"/>
        </w:rPr>
        <w:t xml:space="preserve">notion of student agency as capabilities, expands our </w:t>
      </w:r>
      <w:r>
        <w:rPr>
          <w:rFonts w:ascii="Times New Roman" w:eastAsia="Times New Roman" w:hAnsi="Times New Roman" w:cs="Times New Roman"/>
          <w:sz w:val="24"/>
          <w:szCs w:val="24"/>
        </w:rPr>
        <w:t>understanding of the role of higher education in promoting student flourishing in higher education</w:t>
      </w:r>
      <w:r w:rsidR="0036425F">
        <w:rPr>
          <w:rFonts w:ascii="Times New Roman" w:eastAsia="Times New Roman" w:hAnsi="Times New Roman" w:cs="Times New Roman"/>
          <w:sz w:val="24"/>
          <w:szCs w:val="24"/>
        </w:rPr>
        <w:t xml:space="preserve"> and beyond</w:t>
      </w:r>
      <w:r>
        <w:rPr>
          <w:rFonts w:ascii="Times New Roman" w:eastAsia="Times New Roman" w:hAnsi="Times New Roman" w:cs="Times New Roman"/>
          <w:sz w:val="24"/>
          <w:szCs w:val="24"/>
        </w:rPr>
        <w:t xml:space="preserve"> (Kahn 2017; Wilson-Strydom &amp; Walker 2015). </w:t>
      </w:r>
    </w:p>
    <w:p w14:paraId="156D7A3A" w14:textId="77777777" w:rsidR="00170769" w:rsidRDefault="00170769">
      <w:pPr>
        <w:jc w:val="both"/>
        <w:rPr>
          <w:rFonts w:ascii="Times New Roman" w:eastAsia="Times New Roman" w:hAnsi="Times New Roman" w:cs="Times New Roman"/>
          <w:sz w:val="24"/>
          <w:szCs w:val="24"/>
          <w:highlight w:val="white"/>
        </w:rPr>
      </w:pPr>
    </w:p>
    <w:p w14:paraId="0A9E3FCE" w14:textId="67B5611C" w:rsidR="00170769" w:rsidRPr="00507EAC" w:rsidRDefault="00BF3419" w:rsidP="00507EAC">
      <w:pPr>
        <w:pStyle w:val="Heading1"/>
        <w:spacing w:after="100"/>
        <w:jc w:val="both"/>
      </w:pPr>
      <w:r>
        <w:t xml:space="preserve">References </w:t>
      </w:r>
    </w:p>
    <w:p w14:paraId="33E8360E" w14:textId="77777777" w:rsidR="00170769" w:rsidRDefault="00BF3419" w:rsidP="00507EAC">
      <w:pPr>
        <w:spacing w:after="100"/>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Archer, M. (1995). </w:t>
      </w:r>
      <w:r>
        <w:rPr>
          <w:rFonts w:ascii="Times New Roman" w:eastAsia="Times New Roman" w:hAnsi="Times New Roman" w:cs="Times New Roman"/>
          <w:i/>
          <w:sz w:val="24"/>
          <w:szCs w:val="24"/>
        </w:rPr>
        <w:t>Realist social theory: The morphogenetic approach</w:t>
      </w:r>
      <w:r>
        <w:rPr>
          <w:rFonts w:ascii="Times New Roman" w:eastAsia="Times New Roman" w:hAnsi="Times New Roman" w:cs="Times New Roman"/>
          <w:sz w:val="24"/>
          <w:szCs w:val="24"/>
        </w:rPr>
        <w:t xml:space="preserve">. Cambridge: Cambridge University Press. https://doi.org/10.1017/CBO9780511557675 </w:t>
      </w:r>
    </w:p>
    <w:p w14:paraId="6E6E7D11"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Archer, M. (2000). </w:t>
      </w:r>
      <w:r>
        <w:rPr>
          <w:rFonts w:ascii="Times New Roman" w:eastAsia="Times New Roman" w:hAnsi="Times New Roman" w:cs="Times New Roman"/>
          <w:i/>
          <w:sz w:val="24"/>
          <w:szCs w:val="24"/>
        </w:rPr>
        <w:t>Being human: The problem of agency</w:t>
      </w:r>
      <w:r>
        <w:rPr>
          <w:rFonts w:ascii="Times New Roman" w:eastAsia="Times New Roman" w:hAnsi="Times New Roman" w:cs="Times New Roman"/>
          <w:sz w:val="24"/>
          <w:szCs w:val="24"/>
        </w:rPr>
        <w:t>. Cambridge: Cambridge University Press.</w:t>
      </w:r>
    </w:p>
    <w:p w14:paraId="1FC0E80B"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Archer, M.S. (2003). </w:t>
      </w:r>
      <w:r>
        <w:rPr>
          <w:rFonts w:ascii="Times New Roman" w:eastAsia="Times New Roman" w:hAnsi="Times New Roman" w:cs="Times New Roman"/>
          <w:i/>
          <w:sz w:val="24"/>
          <w:szCs w:val="24"/>
        </w:rPr>
        <w:t>Structure, agency and the internal conversation</w:t>
      </w:r>
      <w:r>
        <w:rPr>
          <w:rFonts w:ascii="Times New Roman" w:eastAsia="Times New Roman" w:hAnsi="Times New Roman" w:cs="Times New Roman"/>
          <w:sz w:val="24"/>
          <w:szCs w:val="24"/>
        </w:rPr>
        <w:t xml:space="preserve">. Cambridge University Press. https://doi.org/10.1017/CBO9781139087315 </w:t>
      </w:r>
    </w:p>
    <w:p w14:paraId="0BAD3A6A" w14:textId="4FC2F4D9"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Ashwin, P. (2020). </w:t>
      </w:r>
      <w:r>
        <w:rPr>
          <w:rFonts w:ascii="Times New Roman" w:eastAsia="Times New Roman" w:hAnsi="Times New Roman" w:cs="Times New Roman"/>
          <w:i/>
          <w:sz w:val="24"/>
          <w:szCs w:val="24"/>
        </w:rPr>
        <w:t>Transforming University Education: a manifesto</w:t>
      </w:r>
      <w:r>
        <w:rPr>
          <w:rFonts w:ascii="Times New Roman" w:eastAsia="Times New Roman" w:hAnsi="Times New Roman" w:cs="Times New Roman"/>
          <w:sz w:val="24"/>
          <w:szCs w:val="24"/>
        </w:rPr>
        <w:t>. Bloomsbury.</w:t>
      </w:r>
    </w:p>
    <w:p w14:paraId="177B7637" w14:textId="5147D15E"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Ashwin, P. (2014). Knowledge, curriculum and student understanding in higher education. </w:t>
      </w:r>
      <w:r>
        <w:rPr>
          <w:rFonts w:ascii="Times New Roman" w:eastAsia="Times New Roman" w:hAnsi="Times New Roman" w:cs="Times New Roman"/>
          <w:i/>
          <w:sz w:val="24"/>
          <w:szCs w:val="24"/>
        </w:rPr>
        <w:t>Higher Education</w:t>
      </w:r>
      <w:r>
        <w:rPr>
          <w:rFonts w:ascii="Times New Roman" w:eastAsia="Times New Roman" w:hAnsi="Times New Roman" w:cs="Times New Roman"/>
          <w:sz w:val="24"/>
          <w:szCs w:val="24"/>
        </w:rPr>
        <w:t xml:space="preserve">, 67(2), 123-126. https://doi.org/10.1007/s10734-014-9715-3 </w:t>
      </w:r>
    </w:p>
    <w:p w14:paraId="7672EC00"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Ashwin, P. (2009). </w:t>
      </w:r>
      <w:proofErr w:type="spellStart"/>
      <w:r>
        <w:rPr>
          <w:rFonts w:ascii="Times New Roman" w:eastAsia="Times New Roman" w:hAnsi="Times New Roman" w:cs="Times New Roman"/>
          <w:i/>
          <w:sz w:val="24"/>
          <w:szCs w:val="24"/>
        </w:rPr>
        <w:t>Analysing</w:t>
      </w:r>
      <w:proofErr w:type="spellEnd"/>
      <w:r>
        <w:rPr>
          <w:rFonts w:ascii="Times New Roman" w:eastAsia="Times New Roman" w:hAnsi="Times New Roman" w:cs="Times New Roman"/>
          <w:i/>
          <w:sz w:val="24"/>
          <w:szCs w:val="24"/>
        </w:rPr>
        <w:t xml:space="preserve"> Teaching-Learning Interactions in Higher Education: Accounting for Structure and Agency.</w:t>
      </w:r>
      <w:r>
        <w:rPr>
          <w:rFonts w:ascii="Times New Roman" w:eastAsia="Times New Roman" w:hAnsi="Times New Roman" w:cs="Times New Roman"/>
          <w:sz w:val="24"/>
          <w:szCs w:val="24"/>
        </w:rPr>
        <w:t xml:space="preserve"> London, UK: Continuum International Publication.</w:t>
      </w:r>
    </w:p>
    <w:p w14:paraId="31D4BBE7" w14:textId="7777777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Astin</w:t>
      </w:r>
      <w:proofErr w:type="spellEnd"/>
      <w:r>
        <w:rPr>
          <w:rFonts w:ascii="Times New Roman" w:eastAsia="Times New Roman" w:hAnsi="Times New Roman" w:cs="Times New Roman"/>
          <w:sz w:val="24"/>
          <w:szCs w:val="24"/>
        </w:rPr>
        <w:t xml:space="preserve">, A. (1984). Student involvement a developmental theory for higher education. </w:t>
      </w:r>
      <w:r>
        <w:rPr>
          <w:rFonts w:ascii="Times New Roman" w:eastAsia="Times New Roman" w:hAnsi="Times New Roman" w:cs="Times New Roman"/>
          <w:i/>
          <w:sz w:val="24"/>
          <w:szCs w:val="24"/>
        </w:rPr>
        <w:t>Journal of College Student Personnel</w:t>
      </w:r>
      <w:r>
        <w:rPr>
          <w:rFonts w:ascii="Times New Roman" w:eastAsia="Times New Roman" w:hAnsi="Times New Roman" w:cs="Times New Roman"/>
          <w:sz w:val="24"/>
          <w:szCs w:val="24"/>
        </w:rPr>
        <w:t>, 25(4), 297–308.</w:t>
      </w:r>
    </w:p>
    <w:p w14:paraId="004311D3" w14:textId="3ECA56D6" w:rsidR="00CA54A5" w:rsidRDefault="00CA54A5" w:rsidP="0036425F">
      <w:pPr>
        <w:spacing w:after="100"/>
        <w:ind w:left="720" w:hanging="720"/>
        <w:jc w:val="both"/>
        <w:rPr>
          <w:rFonts w:ascii="Times New Roman" w:eastAsia="Times New Roman" w:hAnsi="Times New Roman" w:cs="Times New Roman"/>
          <w:sz w:val="24"/>
          <w:szCs w:val="24"/>
        </w:rPr>
      </w:pPr>
      <w:proofErr w:type="spellStart"/>
      <w:r w:rsidRPr="00CA54A5">
        <w:rPr>
          <w:rFonts w:ascii="Times New Roman" w:eastAsia="Times New Roman" w:hAnsi="Times New Roman" w:cs="Times New Roman"/>
          <w:sz w:val="24"/>
          <w:szCs w:val="24"/>
        </w:rPr>
        <w:t>Baik</w:t>
      </w:r>
      <w:proofErr w:type="spellEnd"/>
      <w:r w:rsidRPr="00CA54A5">
        <w:rPr>
          <w:rFonts w:ascii="Times New Roman" w:eastAsia="Times New Roman" w:hAnsi="Times New Roman" w:cs="Times New Roman"/>
          <w:sz w:val="24"/>
          <w:szCs w:val="24"/>
        </w:rPr>
        <w:t xml:space="preserve">, C., </w:t>
      </w:r>
      <w:proofErr w:type="spellStart"/>
      <w:r w:rsidRPr="00CA54A5">
        <w:rPr>
          <w:rFonts w:ascii="Times New Roman" w:eastAsia="Times New Roman" w:hAnsi="Times New Roman" w:cs="Times New Roman"/>
          <w:sz w:val="24"/>
          <w:szCs w:val="24"/>
        </w:rPr>
        <w:t>Larcombe</w:t>
      </w:r>
      <w:proofErr w:type="spellEnd"/>
      <w:r w:rsidRPr="00CA54A5">
        <w:rPr>
          <w:rFonts w:ascii="Times New Roman" w:eastAsia="Times New Roman" w:hAnsi="Times New Roman" w:cs="Times New Roman"/>
          <w:sz w:val="24"/>
          <w:szCs w:val="24"/>
        </w:rPr>
        <w:t xml:space="preserve">, W., &amp; Brooker, A. (2019). How universities can enhance student mental wellbeing: The student perspective. </w:t>
      </w:r>
      <w:r w:rsidRPr="00CA54A5">
        <w:rPr>
          <w:rFonts w:ascii="Times New Roman" w:eastAsia="Times New Roman" w:hAnsi="Times New Roman" w:cs="Times New Roman"/>
          <w:i/>
          <w:iCs/>
          <w:sz w:val="24"/>
          <w:szCs w:val="24"/>
        </w:rPr>
        <w:t>Higher Education Research &amp; Development</w:t>
      </w:r>
      <w:r w:rsidRPr="00CA54A5">
        <w:rPr>
          <w:rFonts w:ascii="Times New Roman" w:eastAsia="Times New Roman" w:hAnsi="Times New Roman" w:cs="Times New Roman"/>
          <w:sz w:val="24"/>
          <w:szCs w:val="24"/>
        </w:rPr>
        <w:t>, 38(4), 674-687.</w:t>
      </w:r>
    </w:p>
    <w:p w14:paraId="49396928" w14:textId="07526D98"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Ball, Stephen J., Jackie Davies, Miriam David &amp; Diane Reay (2002). 'Classification' and 'Judgement': Social class and the 'cognitive structures' of choice of Higher Education, </w:t>
      </w:r>
      <w:r>
        <w:rPr>
          <w:rFonts w:ascii="Times New Roman" w:eastAsia="Times New Roman" w:hAnsi="Times New Roman" w:cs="Times New Roman"/>
          <w:i/>
          <w:sz w:val="24"/>
          <w:szCs w:val="24"/>
        </w:rPr>
        <w:t>British Journal of Sociology of Education,</w:t>
      </w:r>
      <w:r>
        <w:rPr>
          <w:rFonts w:ascii="Times New Roman" w:eastAsia="Times New Roman" w:hAnsi="Times New Roman" w:cs="Times New Roman"/>
          <w:sz w:val="24"/>
          <w:szCs w:val="24"/>
        </w:rPr>
        <w:t xml:space="preserve"> 23:1, 51-72, DOI: 10.1080/01425690120102854</w:t>
      </w:r>
    </w:p>
    <w:p w14:paraId="3A83EE03"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Bandura, A. (1986). </w:t>
      </w:r>
      <w:r>
        <w:rPr>
          <w:rFonts w:ascii="Times New Roman" w:eastAsia="Times New Roman" w:hAnsi="Times New Roman" w:cs="Times New Roman"/>
          <w:i/>
          <w:sz w:val="24"/>
          <w:szCs w:val="24"/>
        </w:rPr>
        <w:t>Social Foundations of Thought and Action: A Social Cognitive Theory</w:t>
      </w:r>
      <w:r>
        <w:rPr>
          <w:rFonts w:ascii="Times New Roman" w:eastAsia="Times New Roman" w:hAnsi="Times New Roman" w:cs="Times New Roman"/>
          <w:sz w:val="24"/>
          <w:szCs w:val="24"/>
        </w:rPr>
        <w:t>. Prentice-Hall.</w:t>
      </w:r>
    </w:p>
    <w:p w14:paraId="724EB1B1"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Bandura, A. (1997). </w:t>
      </w:r>
      <w:r>
        <w:rPr>
          <w:rFonts w:ascii="Times New Roman" w:eastAsia="Times New Roman" w:hAnsi="Times New Roman" w:cs="Times New Roman"/>
          <w:i/>
          <w:sz w:val="24"/>
          <w:szCs w:val="24"/>
        </w:rPr>
        <w:t>Self-efficacy: The exercise of control</w:t>
      </w:r>
      <w:r>
        <w:rPr>
          <w:rFonts w:ascii="Times New Roman" w:eastAsia="Times New Roman" w:hAnsi="Times New Roman" w:cs="Times New Roman"/>
          <w:sz w:val="24"/>
          <w:szCs w:val="24"/>
        </w:rPr>
        <w:t xml:space="preserve">. New York: Freeman </w:t>
      </w:r>
    </w:p>
    <w:p w14:paraId="5003D3E1"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Bandura A. (2001). Social cognitive theory: An agentic perspective. </w:t>
      </w:r>
      <w:r>
        <w:rPr>
          <w:rFonts w:ascii="Times New Roman" w:eastAsia="Times New Roman" w:hAnsi="Times New Roman" w:cs="Times New Roman"/>
          <w:i/>
          <w:sz w:val="24"/>
          <w:szCs w:val="24"/>
        </w:rPr>
        <w:t>Annual Review of Psychology</w:t>
      </w:r>
      <w:r>
        <w:rPr>
          <w:rFonts w:ascii="Times New Roman" w:eastAsia="Times New Roman" w:hAnsi="Times New Roman" w:cs="Times New Roman"/>
          <w:sz w:val="24"/>
          <w:szCs w:val="24"/>
        </w:rPr>
        <w:t xml:space="preserve"> 52, 1-26. https://doi.org/10.1146/annurev.psych.52.1.1 </w:t>
      </w:r>
    </w:p>
    <w:p w14:paraId="759AEB9C"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M. B. (2001). Making Their Own Way: Narratives for Transforming Higher Education to Promote Self-Development. Sterling, Va.: Stylus.</w:t>
      </w:r>
    </w:p>
    <w:p w14:paraId="534DB622"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xml:space="preserve">, M. B. (2004). “Learning Partnerships Model: A Framework for Promoting Self-Authorship.” In M. B. 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xml:space="preserve"> and P. M. King (eds.), Learning Partnerships: Theory and Models of Practice to Educate for Self-Authorship. Sterling, Va.: Stylus.</w:t>
      </w:r>
    </w:p>
    <w:p w14:paraId="675116EF"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xml:space="preserve">, M. B.. (2007). Self-Authorship: The Foundation for Twenty-First Century Education. </w:t>
      </w:r>
      <w:r>
        <w:rPr>
          <w:rFonts w:ascii="Times New Roman" w:eastAsia="Times New Roman" w:hAnsi="Times New Roman" w:cs="Times New Roman"/>
          <w:i/>
          <w:sz w:val="24"/>
          <w:szCs w:val="24"/>
        </w:rPr>
        <w:t>New Directions for Teaching and Learning.</w:t>
      </w:r>
      <w:r>
        <w:rPr>
          <w:rFonts w:ascii="Times New Roman" w:eastAsia="Times New Roman" w:hAnsi="Times New Roman" w:cs="Times New Roman"/>
          <w:sz w:val="24"/>
          <w:szCs w:val="24"/>
        </w:rPr>
        <w:t xml:space="preserve"> 2007. 69 - 83. 10.1002/tl.266.</w:t>
      </w:r>
    </w:p>
    <w:p w14:paraId="2CE9ADD6"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xml:space="preserve">, M. B. (2008). Three elements of self-authorship. </w:t>
      </w:r>
      <w:r>
        <w:rPr>
          <w:rFonts w:ascii="Times New Roman" w:eastAsia="Times New Roman" w:hAnsi="Times New Roman" w:cs="Times New Roman"/>
          <w:i/>
          <w:sz w:val="24"/>
          <w:szCs w:val="24"/>
        </w:rPr>
        <w:t>Journal of College Student Development</w:t>
      </w:r>
      <w:r>
        <w:rPr>
          <w:rFonts w:ascii="Times New Roman" w:eastAsia="Times New Roman" w:hAnsi="Times New Roman" w:cs="Times New Roman"/>
          <w:sz w:val="24"/>
          <w:szCs w:val="24"/>
        </w:rPr>
        <w:t xml:space="preserve">, 49(4), 269-284. https://doi.org/10.1353/CSD.0.0016   </w:t>
      </w:r>
    </w:p>
    <w:p w14:paraId="718D7405" w14:textId="77777777" w:rsidR="00170769" w:rsidRDefault="00BF3419" w:rsidP="0036425F">
      <w:pPr>
        <w:spacing w:after="100"/>
        <w:ind w:left="720" w:hanging="720"/>
        <w:jc w:val="both"/>
        <w:rPr>
          <w:rFonts w:ascii="Times New Roman" w:eastAsia="Times New Roman" w:hAnsi="Times New Roman" w:cs="Times New Roman"/>
          <w:sz w:val="24"/>
          <w:szCs w:val="24"/>
        </w:rPr>
      </w:pPr>
      <w:r w:rsidRPr="00D332C0">
        <w:rPr>
          <w:rFonts w:ascii="Times New Roman" w:eastAsia="Times New Roman" w:hAnsi="Times New Roman" w:cs="Times New Roman"/>
          <w:sz w:val="24"/>
          <w:szCs w:val="24"/>
          <w:lang w:val="en-US"/>
        </w:rPr>
        <w:t xml:space="preserve">Biesta, G. J. J., &amp; Tedder, M. (2006). </w:t>
      </w:r>
      <w:r>
        <w:rPr>
          <w:rFonts w:ascii="Times New Roman" w:eastAsia="Times New Roman" w:hAnsi="Times New Roman" w:cs="Times New Roman"/>
          <w:sz w:val="24"/>
          <w:szCs w:val="24"/>
        </w:rPr>
        <w:t>How is agency possible? Towards an ecological understanding of agency-as-achievement (Working Paper 5). Exeter: The Learning Lives Project.</w:t>
      </w:r>
    </w:p>
    <w:p w14:paraId="5AA8DACD"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Biesta, G. J. J., &amp; Tedder, M. (2007). Agency and learning in the </w:t>
      </w:r>
      <w:proofErr w:type="spellStart"/>
      <w:r>
        <w:rPr>
          <w:rFonts w:ascii="Times New Roman" w:eastAsia="Times New Roman" w:hAnsi="Times New Roman" w:cs="Times New Roman"/>
          <w:sz w:val="24"/>
          <w:szCs w:val="24"/>
        </w:rPr>
        <w:t>lifecourse</w:t>
      </w:r>
      <w:proofErr w:type="spellEnd"/>
      <w:r>
        <w:rPr>
          <w:rFonts w:ascii="Times New Roman" w:eastAsia="Times New Roman" w:hAnsi="Times New Roman" w:cs="Times New Roman"/>
          <w:sz w:val="24"/>
          <w:szCs w:val="24"/>
        </w:rPr>
        <w:t xml:space="preserve">: Towards an ecological perspective. </w:t>
      </w:r>
      <w:r>
        <w:rPr>
          <w:rFonts w:ascii="Times New Roman" w:eastAsia="Times New Roman" w:hAnsi="Times New Roman" w:cs="Times New Roman"/>
          <w:i/>
          <w:sz w:val="24"/>
          <w:szCs w:val="24"/>
        </w:rPr>
        <w:t>Studies in the Education of Adults</w:t>
      </w:r>
      <w:r>
        <w:rPr>
          <w:rFonts w:ascii="Times New Roman" w:eastAsia="Times New Roman" w:hAnsi="Times New Roman" w:cs="Times New Roman"/>
          <w:sz w:val="24"/>
          <w:szCs w:val="24"/>
        </w:rPr>
        <w:t xml:space="preserve">, 39, 132-149. https://doi.org/10.1080/02660830.2007.11661545 </w:t>
      </w:r>
    </w:p>
    <w:p w14:paraId="1ADED566"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Biesta, G., Priestley, M., Robinson, S. (2015). The role of beliefs in teacher agency. </w:t>
      </w:r>
      <w:r>
        <w:rPr>
          <w:rFonts w:ascii="Times New Roman" w:eastAsia="Times New Roman" w:hAnsi="Times New Roman" w:cs="Times New Roman"/>
          <w:i/>
          <w:sz w:val="24"/>
          <w:szCs w:val="24"/>
        </w:rPr>
        <w:t>Teachers and Teaching</w:t>
      </w:r>
      <w:r>
        <w:rPr>
          <w:rFonts w:ascii="Times New Roman" w:eastAsia="Times New Roman" w:hAnsi="Times New Roman" w:cs="Times New Roman"/>
          <w:sz w:val="24"/>
          <w:szCs w:val="24"/>
        </w:rPr>
        <w:t xml:space="preserve">, 21(6), 624-640. https://doi.org/10.1080/13540602.2015.1044325 </w:t>
      </w:r>
    </w:p>
    <w:p w14:paraId="71AD653F" w14:textId="3B928BA6"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Bovill</w:t>
      </w:r>
      <w:proofErr w:type="spellEnd"/>
      <w:r>
        <w:rPr>
          <w:rFonts w:ascii="Times New Roman" w:eastAsia="Times New Roman" w:hAnsi="Times New Roman" w:cs="Times New Roman"/>
          <w:sz w:val="24"/>
          <w:szCs w:val="24"/>
        </w:rPr>
        <w:t>, C., Cook-Sather,</w:t>
      </w:r>
      <w:r w:rsidR="003642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&amp; </w:t>
      </w:r>
      <w:proofErr w:type="spellStart"/>
      <w:r>
        <w:rPr>
          <w:rFonts w:ascii="Times New Roman" w:eastAsia="Times New Roman" w:hAnsi="Times New Roman" w:cs="Times New Roman"/>
          <w:sz w:val="24"/>
          <w:szCs w:val="24"/>
        </w:rPr>
        <w:t>Felten</w:t>
      </w:r>
      <w:proofErr w:type="spellEnd"/>
      <w:r>
        <w:rPr>
          <w:rFonts w:ascii="Times New Roman" w:eastAsia="Times New Roman" w:hAnsi="Times New Roman" w:cs="Times New Roman"/>
          <w:sz w:val="24"/>
          <w:szCs w:val="24"/>
        </w:rPr>
        <w:t xml:space="preserve">, P. (2011). Students as co-creators of teaching approaches, course design and curricula: Implications for academic developers. International Journal for Academic Development, 16(2), 133-145. https://doi.org/10.1080/1360144X.2011.568690   </w:t>
      </w:r>
    </w:p>
    <w:p w14:paraId="24120EC2"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Bourdieu, Pierre. 1984 [1979</w:t>
      </w:r>
      <w:r>
        <w:rPr>
          <w:rFonts w:ascii="Times New Roman" w:eastAsia="Times New Roman" w:hAnsi="Times New Roman" w:cs="Times New Roman"/>
          <w:i/>
          <w:sz w:val="24"/>
          <w:szCs w:val="24"/>
        </w:rPr>
        <w:t>]. Distinction: A Social Critique of the Judgment of Taste</w:t>
      </w:r>
      <w:r>
        <w:rPr>
          <w:rFonts w:ascii="Times New Roman" w:eastAsia="Times New Roman" w:hAnsi="Times New Roman" w:cs="Times New Roman"/>
          <w:sz w:val="24"/>
          <w:szCs w:val="24"/>
        </w:rPr>
        <w:t>. Translated by Richard Nice. Cambridge, MA: Harvard University Press.</w:t>
      </w:r>
    </w:p>
    <w:p w14:paraId="63CCFF77"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Bourdieu, Pierre. 1988 [1984]. </w:t>
      </w:r>
      <w:r>
        <w:rPr>
          <w:rFonts w:ascii="Times New Roman" w:eastAsia="Times New Roman" w:hAnsi="Times New Roman" w:cs="Times New Roman"/>
          <w:i/>
          <w:sz w:val="24"/>
          <w:szCs w:val="24"/>
        </w:rPr>
        <w:t xml:space="preserve">Homo </w:t>
      </w:r>
      <w:proofErr w:type="spellStart"/>
      <w:r>
        <w:rPr>
          <w:rFonts w:ascii="Times New Roman" w:eastAsia="Times New Roman" w:hAnsi="Times New Roman" w:cs="Times New Roman"/>
          <w:i/>
          <w:sz w:val="24"/>
          <w:szCs w:val="24"/>
        </w:rPr>
        <w:t>Academicus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Translated by Peter Collier. Stanford, CA: Stanford University Press.</w:t>
      </w:r>
    </w:p>
    <w:p w14:paraId="4A717403"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Bourdieu, Pierre. 1996 [1989]. </w:t>
      </w:r>
      <w:r>
        <w:rPr>
          <w:rFonts w:ascii="Times New Roman" w:eastAsia="Times New Roman" w:hAnsi="Times New Roman" w:cs="Times New Roman"/>
          <w:i/>
          <w:sz w:val="24"/>
          <w:szCs w:val="24"/>
        </w:rPr>
        <w:t>The State Nobility: Elite Schools and the Field of Power</w:t>
      </w:r>
      <w:r>
        <w:rPr>
          <w:rFonts w:ascii="Times New Roman" w:eastAsia="Times New Roman" w:hAnsi="Times New Roman" w:cs="Times New Roman"/>
          <w:sz w:val="24"/>
          <w:szCs w:val="24"/>
        </w:rPr>
        <w:t xml:space="preserve">. Translated by Lauretta C. Clough. Stanford, CA: Stanford University Press. https://doi.org/10.1515/9781503615427 </w:t>
      </w:r>
    </w:p>
    <w:p w14:paraId="7D7C739F"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Bourdieu, Pierre 1998 [1994]. </w:t>
      </w:r>
      <w:r>
        <w:rPr>
          <w:rFonts w:ascii="Times New Roman" w:eastAsia="Times New Roman" w:hAnsi="Times New Roman" w:cs="Times New Roman"/>
          <w:i/>
          <w:sz w:val="24"/>
          <w:szCs w:val="24"/>
        </w:rPr>
        <w:t>Practical Reason: On the Theory of Action</w:t>
      </w:r>
      <w:r>
        <w:rPr>
          <w:rFonts w:ascii="Times New Roman" w:eastAsia="Times New Roman" w:hAnsi="Times New Roman" w:cs="Times New Roman"/>
          <w:sz w:val="24"/>
          <w:szCs w:val="24"/>
        </w:rPr>
        <w:t>. Stanford, CA: Stanford University</w:t>
      </w:r>
    </w:p>
    <w:p w14:paraId="2561D1F5"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Brooks, R. (2021). The construction of higher education students within national policy: A cross-European comparison. </w:t>
      </w:r>
      <w:r>
        <w:rPr>
          <w:rFonts w:ascii="Times New Roman" w:eastAsia="Times New Roman" w:hAnsi="Times New Roman" w:cs="Times New Roman"/>
          <w:i/>
          <w:sz w:val="24"/>
          <w:szCs w:val="24"/>
        </w:rPr>
        <w:t>Compare: A Journal of Comparative and International Education</w:t>
      </w:r>
      <w:r>
        <w:rPr>
          <w:rFonts w:ascii="Times New Roman" w:eastAsia="Times New Roman" w:hAnsi="Times New Roman" w:cs="Times New Roman"/>
          <w:sz w:val="24"/>
          <w:szCs w:val="24"/>
        </w:rPr>
        <w:t>, 51(2), 161–180.</w:t>
      </w:r>
    </w:p>
    <w:p w14:paraId="02B0E3DA"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Clegg, S. (2004). Critical readings: progress files and the production of the autonomous learner. </w:t>
      </w:r>
      <w:r>
        <w:rPr>
          <w:rFonts w:ascii="Times New Roman" w:eastAsia="Times New Roman" w:hAnsi="Times New Roman" w:cs="Times New Roman"/>
          <w:i/>
          <w:sz w:val="24"/>
          <w:szCs w:val="24"/>
        </w:rPr>
        <w:t>Teaching in Higher Education</w:t>
      </w:r>
      <w:r>
        <w:rPr>
          <w:rFonts w:ascii="Times New Roman" w:eastAsia="Times New Roman" w:hAnsi="Times New Roman" w:cs="Times New Roman"/>
          <w:sz w:val="24"/>
          <w:szCs w:val="24"/>
        </w:rPr>
        <w:t>, 9(3): 287–298.</w:t>
      </w:r>
    </w:p>
    <w:p w14:paraId="5721D645" w14:textId="77777777" w:rsidR="00170769" w:rsidRDefault="00BF3419" w:rsidP="0036425F">
      <w:pPr>
        <w:spacing w:after="100"/>
        <w:ind w:left="720" w:hanging="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Clegg, S. (2005). </w:t>
      </w:r>
      <w:proofErr w:type="spellStart"/>
      <w:r>
        <w:rPr>
          <w:rFonts w:ascii="Times New Roman" w:eastAsia="Times New Roman" w:hAnsi="Times New Roman" w:cs="Times New Roman"/>
          <w:sz w:val="24"/>
          <w:szCs w:val="24"/>
        </w:rPr>
        <w:t>Theorising</w:t>
      </w:r>
      <w:proofErr w:type="spellEnd"/>
      <w:r>
        <w:rPr>
          <w:rFonts w:ascii="Times New Roman" w:eastAsia="Times New Roman" w:hAnsi="Times New Roman" w:cs="Times New Roman"/>
          <w:sz w:val="24"/>
          <w:szCs w:val="24"/>
        </w:rPr>
        <w:t xml:space="preserve"> the Mundane: The Significance of Agency. </w:t>
      </w:r>
      <w:r>
        <w:rPr>
          <w:rFonts w:ascii="Times New Roman" w:eastAsia="Times New Roman" w:hAnsi="Times New Roman" w:cs="Times New Roman"/>
          <w:i/>
          <w:sz w:val="24"/>
          <w:szCs w:val="24"/>
        </w:rPr>
        <w:t>International Studies in Sociology of Education</w:t>
      </w:r>
      <w:r>
        <w:rPr>
          <w:rFonts w:ascii="Times New Roman" w:eastAsia="Times New Roman" w:hAnsi="Times New Roman" w:cs="Times New Roman"/>
          <w:sz w:val="24"/>
          <w:szCs w:val="24"/>
        </w:rPr>
        <w:t xml:space="preserve"> 15 (2): 149–164.</w:t>
      </w:r>
      <w:hyperlink r:id="rId7">
        <w:r>
          <w:rPr>
            <w:rFonts w:ascii="Times New Roman" w:eastAsia="Times New Roman" w:hAnsi="Times New Roman" w:cs="Times New Roman"/>
            <w:sz w:val="24"/>
            <w:szCs w:val="24"/>
          </w:rPr>
          <w:t xml:space="preserve"> </w:t>
        </w:r>
      </w:hyperlink>
      <w:hyperlink r:id="rId8">
        <w:r>
          <w:rPr>
            <w:rFonts w:ascii="Times New Roman" w:eastAsia="Times New Roman" w:hAnsi="Times New Roman" w:cs="Times New Roman"/>
            <w:sz w:val="24"/>
            <w:szCs w:val="24"/>
            <w:u w:val="single"/>
          </w:rPr>
          <w:t>10.1080/09620210500200137</w:t>
        </w:r>
      </w:hyperlink>
    </w:p>
    <w:p w14:paraId="4825F820" w14:textId="7F8890B5"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Clegg, S. (2010)</w:t>
      </w:r>
      <w:r w:rsidR="00595F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Time future – the dominant discourse of higher education. </w:t>
      </w:r>
      <w:r>
        <w:rPr>
          <w:rFonts w:ascii="Times New Roman" w:eastAsia="Times New Roman" w:hAnsi="Times New Roman" w:cs="Times New Roman"/>
          <w:i/>
          <w:sz w:val="24"/>
          <w:szCs w:val="24"/>
        </w:rPr>
        <w:t>Time and Society</w:t>
      </w:r>
      <w:r>
        <w:rPr>
          <w:rFonts w:ascii="Times New Roman" w:eastAsia="Times New Roman" w:hAnsi="Times New Roman" w:cs="Times New Roman"/>
          <w:sz w:val="24"/>
          <w:szCs w:val="24"/>
        </w:rPr>
        <w:t xml:space="preserve"> 19(3): 345-364.</w:t>
      </w:r>
    </w:p>
    <w:p w14:paraId="73ACB30C"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Clegg, Sue (2011). Cultural Capital and Agency: Connecting Critique and Curriculum in Higher Education. </w:t>
      </w:r>
      <w:r>
        <w:rPr>
          <w:rFonts w:ascii="Times New Roman" w:eastAsia="Times New Roman" w:hAnsi="Times New Roman" w:cs="Times New Roman"/>
          <w:i/>
          <w:sz w:val="24"/>
          <w:szCs w:val="24"/>
        </w:rPr>
        <w:t>British Journal of Sociology of Education</w:t>
      </w:r>
      <w:r>
        <w:rPr>
          <w:rFonts w:ascii="Times New Roman" w:eastAsia="Times New Roman" w:hAnsi="Times New Roman" w:cs="Times New Roman"/>
          <w:sz w:val="24"/>
          <w:szCs w:val="24"/>
        </w:rPr>
        <w:t xml:space="preserve"> 32(1): 93-108 </w:t>
      </w:r>
    </w:p>
    <w:p w14:paraId="435DC1E1"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Clegg S &amp; Bradley S (2006). Models of Personal Development: Practices and Processes. </w:t>
      </w:r>
      <w:r>
        <w:rPr>
          <w:rFonts w:ascii="Times New Roman" w:eastAsia="Times New Roman" w:hAnsi="Times New Roman" w:cs="Times New Roman"/>
          <w:i/>
          <w:sz w:val="24"/>
          <w:szCs w:val="24"/>
        </w:rPr>
        <w:t>British Educational Research Journal</w:t>
      </w:r>
      <w:r>
        <w:rPr>
          <w:rFonts w:ascii="Times New Roman" w:eastAsia="Times New Roman" w:hAnsi="Times New Roman" w:cs="Times New Roman"/>
          <w:sz w:val="24"/>
          <w:szCs w:val="24"/>
        </w:rPr>
        <w:t xml:space="preserve"> 32(1): 57–76.</w:t>
      </w:r>
    </w:p>
    <w:p w14:paraId="7EE3AB94"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Clegg, S. &amp; </w:t>
      </w:r>
      <w:proofErr w:type="spellStart"/>
      <w:r>
        <w:rPr>
          <w:rFonts w:ascii="Times New Roman" w:eastAsia="Times New Roman" w:hAnsi="Times New Roman" w:cs="Times New Roman"/>
          <w:sz w:val="24"/>
          <w:szCs w:val="24"/>
        </w:rPr>
        <w:t>Bufton</w:t>
      </w:r>
      <w:proofErr w:type="spellEnd"/>
      <w:r>
        <w:rPr>
          <w:rFonts w:ascii="Times New Roman" w:eastAsia="Times New Roman" w:hAnsi="Times New Roman" w:cs="Times New Roman"/>
          <w:sz w:val="24"/>
          <w:szCs w:val="24"/>
        </w:rPr>
        <w:t xml:space="preserve">, S. (2008). Student support through personal development planning: retrospection and time. </w:t>
      </w:r>
      <w:r>
        <w:rPr>
          <w:rFonts w:ascii="Times New Roman" w:eastAsia="Times New Roman" w:hAnsi="Times New Roman" w:cs="Times New Roman"/>
          <w:i/>
          <w:sz w:val="24"/>
          <w:szCs w:val="24"/>
        </w:rPr>
        <w:t>Research Papers in Education</w:t>
      </w:r>
      <w:r>
        <w:rPr>
          <w:rFonts w:ascii="Times New Roman" w:eastAsia="Times New Roman" w:hAnsi="Times New Roman" w:cs="Times New Roman"/>
          <w:sz w:val="24"/>
          <w:szCs w:val="24"/>
        </w:rPr>
        <w:t>, 23(4): 1–16.</w:t>
      </w:r>
    </w:p>
    <w:p w14:paraId="7F3A3A9B"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Clegg, S., Stevenson, J., &amp; </w:t>
      </w:r>
      <w:proofErr w:type="spellStart"/>
      <w:r>
        <w:rPr>
          <w:rFonts w:ascii="Times New Roman" w:eastAsia="Times New Roman" w:hAnsi="Times New Roman" w:cs="Times New Roman"/>
          <w:sz w:val="24"/>
          <w:szCs w:val="24"/>
        </w:rPr>
        <w:t>Willott</w:t>
      </w:r>
      <w:proofErr w:type="spellEnd"/>
      <w:r>
        <w:rPr>
          <w:rFonts w:ascii="Times New Roman" w:eastAsia="Times New Roman" w:hAnsi="Times New Roman" w:cs="Times New Roman"/>
          <w:sz w:val="24"/>
          <w:szCs w:val="24"/>
        </w:rPr>
        <w:t xml:space="preserve">, J. (2010). Staff conceptions of curricular and extracurricular activities in higher education. </w:t>
      </w:r>
      <w:r>
        <w:rPr>
          <w:rFonts w:ascii="Times New Roman" w:eastAsia="Times New Roman" w:hAnsi="Times New Roman" w:cs="Times New Roman"/>
          <w:i/>
          <w:sz w:val="24"/>
          <w:szCs w:val="24"/>
        </w:rPr>
        <w:t>Higher Education</w:t>
      </w:r>
      <w:r>
        <w:rPr>
          <w:rFonts w:ascii="Times New Roman" w:eastAsia="Times New Roman" w:hAnsi="Times New Roman" w:cs="Times New Roman"/>
          <w:sz w:val="24"/>
          <w:szCs w:val="24"/>
        </w:rPr>
        <w:t xml:space="preserve">, 59(5), 615–626. http://www.jstor.org/stable/40602423 </w:t>
      </w:r>
    </w:p>
    <w:p w14:paraId="77E75799"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Clegg, Sue &amp; Jacqueline Stevenson (2013) The interview reconsidered: context, genre, reflexivity and interpretation in sociological approaches to interviews in higher education research, </w:t>
      </w:r>
      <w:r>
        <w:rPr>
          <w:rFonts w:ascii="Times New Roman" w:eastAsia="Times New Roman" w:hAnsi="Times New Roman" w:cs="Times New Roman"/>
          <w:i/>
          <w:sz w:val="24"/>
          <w:szCs w:val="24"/>
        </w:rPr>
        <w:t>Higher Education Research &amp; Development</w:t>
      </w:r>
      <w:r>
        <w:rPr>
          <w:rFonts w:ascii="Times New Roman" w:eastAsia="Times New Roman" w:hAnsi="Times New Roman" w:cs="Times New Roman"/>
          <w:sz w:val="24"/>
          <w:szCs w:val="24"/>
        </w:rPr>
        <w:t>, 32:1, 5-16, DOI: 10.1080/07294360.2012.750277</w:t>
      </w:r>
    </w:p>
    <w:p w14:paraId="23616E7F" w14:textId="7777777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Comim</w:t>
      </w:r>
      <w:proofErr w:type="spellEnd"/>
      <w:r>
        <w:rPr>
          <w:rFonts w:ascii="Times New Roman" w:eastAsia="Times New Roman" w:hAnsi="Times New Roman" w:cs="Times New Roman"/>
          <w:sz w:val="24"/>
          <w:szCs w:val="24"/>
        </w:rPr>
        <w:t xml:space="preserve">, F. (2008). Measuring capabilities. In </w:t>
      </w:r>
      <w:proofErr w:type="spellStart"/>
      <w:r>
        <w:rPr>
          <w:rFonts w:ascii="Times New Roman" w:eastAsia="Times New Roman" w:hAnsi="Times New Roman" w:cs="Times New Roman"/>
          <w:sz w:val="24"/>
          <w:szCs w:val="24"/>
        </w:rPr>
        <w:t>Comim</w:t>
      </w:r>
      <w:proofErr w:type="spellEnd"/>
      <w:r>
        <w:rPr>
          <w:rFonts w:ascii="Times New Roman" w:eastAsia="Times New Roman" w:hAnsi="Times New Roman" w:cs="Times New Roman"/>
          <w:sz w:val="24"/>
          <w:szCs w:val="24"/>
        </w:rPr>
        <w:t xml:space="preserve">, Flavio; </w:t>
      </w:r>
      <w:proofErr w:type="spellStart"/>
      <w:r>
        <w:rPr>
          <w:rFonts w:ascii="Times New Roman" w:eastAsia="Times New Roman" w:hAnsi="Times New Roman" w:cs="Times New Roman"/>
          <w:sz w:val="24"/>
          <w:szCs w:val="24"/>
        </w:rPr>
        <w:t>Qizilbash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Mozaffar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Alkire</w:t>
      </w:r>
      <w:proofErr w:type="spellEnd"/>
      <w:r>
        <w:rPr>
          <w:rFonts w:ascii="Times New Roman" w:eastAsia="Times New Roman" w:hAnsi="Times New Roman" w:cs="Times New Roman"/>
          <w:sz w:val="24"/>
          <w:szCs w:val="24"/>
        </w:rPr>
        <w:t xml:space="preserve">, Sabina (eds.) (2008). </w:t>
      </w:r>
      <w:r>
        <w:rPr>
          <w:rFonts w:ascii="Times New Roman" w:eastAsia="Times New Roman" w:hAnsi="Times New Roman" w:cs="Times New Roman"/>
          <w:i/>
          <w:sz w:val="24"/>
          <w:szCs w:val="24"/>
        </w:rPr>
        <w:t>The Capability Approach: Concepts, Measures and Applications</w:t>
      </w:r>
      <w:r>
        <w:rPr>
          <w:rFonts w:ascii="Times New Roman" w:eastAsia="Times New Roman" w:hAnsi="Times New Roman" w:cs="Times New Roman"/>
          <w:sz w:val="24"/>
          <w:szCs w:val="24"/>
        </w:rPr>
        <w:t>. (pp. 157-200). Cambridge University Press.</w:t>
      </w:r>
    </w:p>
    <w:p w14:paraId="6BD8B9EE"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Cummins, Robert A. (1996). The Domains of Life Satisfaction: An Attempt to Order Chaos. </w:t>
      </w:r>
      <w:r>
        <w:rPr>
          <w:rFonts w:ascii="Times New Roman" w:eastAsia="Times New Roman" w:hAnsi="Times New Roman" w:cs="Times New Roman"/>
          <w:i/>
          <w:sz w:val="24"/>
          <w:szCs w:val="24"/>
        </w:rPr>
        <w:t>Social Indicators Research</w:t>
      </w:r>
      <w:r>
        <w:rPr>
          <w:rFonts w:ascii="Times New Roman" w:eastAsia="Times New Roman" w:hAnsi="Times New Roman" w:cs="Times New Roman"/>
          <w:sz w:val="24"/>
          <w:szCs w:val="24"/>
        </w:rPr>
        <w:t xml:space="preserve">. 38/3: 303-28. https://doi.org/10.1007/BF00292050 </w:t>
      </w:r>
    </w:p>
    <w:p w14:paraId="7461C2DA"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Cook-Sather, A. (2006). Sound, presence, and power: Exploring “student voice” in educational research and reform. </w:t>
      </w:r>
      <w:r>
        <w:rPr>
          <w:rFonts w:ascii="Times New Roman" w:eastAsia="Times New Roman" w:hAnsi="Times New Roman" w:cs="Times New Roman"/>
          <w:i/>
          <w:sz w:val="24"/>
          <w:szCs w:val="24"/>
        </w:rPr>
        <w:t>Curriculum Inquiry</w:t>
      </w:r>
      <w:r>
        <w:rPr>
          <w:rFonts w:ascii="Times New Roman" w:eastAsia="Times New Roman" w:hAnsi="Times New Roman" w:cs="Times New Roman"/>
          <w:sz w:val="24"/>
          <w:szCs w:val="24"/>
        </w:rPr>
        <w:t>, 36(4), 359-390</w:t>
      </w:r>
    </w:p>
    <w:p w14:paraId="657D1044"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Cook-Sather, Allison &amp; Alia Luz (2015). Greater engagement in and responsibility for learning: what happens when students cross the threshold of student–faculty partnership, </w:t>
      </w:r>
      <w:r>
        <w:rPr>
          <w:rFonts w:ascii="Times New Roman" w:eastAsia="Times New Roman" w:hAnsi="Times New Roman" w:cs="Times New Roman"/>
          <w:i/>
          <w:sz w:val="24"/>
          <w:szCs w:val="24"/>
        </w:rPr>
        <w:t>Higher Education Research &amp; Development</w:t>
      </w:r>
      <w:r>
        <w:rPr>
          <w:rFonts w:ascii="Times New Roman" w:eastAsia="Times New Roman" w:hAnsi="Times New Roman" w:cs="Times New Roman"/>
          <w:sz w:val="24"/>
          <w:szCs w:val="24"/>
        </w:rPr>
        <w:t>, 34:6, 1097-1109, DOI: 10.1080/07294360.2014.911263</w:t>
      </w:r>
    </w:p>
    <w:p w14:paraId="09E5F046"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Cook-Sather, Alison &amp; Matthews, Kelly &amp; </w:t>
      </w:r>
      <w:proofErr w:type="spellStart"/>
      <w:r>
        <w:rPr>
          <w:rFonts w:ascii="Times New Roman" w:eastAsia="Times New Roman" w:hAnsi="Times New Roman" w:cs="Times New Roman"/>
          <w:sz w:val="24"/>
          <w:szCs w:val="24"/>
        </w:rPr>
        <w:t>Ntem</w:t>
      </w:r>
      <w:proofErr w:type="spellEnd"/>
      <w:r>
        <w:rPr>
          <w:rFonts w:ascii="Times New Roman" w:eastAsia="Times New Roman" w:hAnsi="Times New Roman" w:cs="Times New Roman"/>
          <w:sz w:val="24"/>
          <w:szCs w:val="24"/>
        </w:rPr>
        <w:t xml:space="preserve">, Anita &amp; </w:t>
      </w:r>
      <w:proofErr w:type="spellStart"/>
      <w:r>
        <w:rPr>
          <w:rFonts w:ascii="Times New Roman" w:eastAsia="Times New Roman" w:hAnsi="Times New Roman" w:cs="Times New Roman"/>
          <w:sz w:val="24"/>
          <w:szCs w:val="24"/>
        </w:rPr>
        <w:t>Leathwick</w:t>
      </w:r>
      <w:proofErr w:type="spellEnd"/>
      <w:r>
        <w:rPr>
          <w:rFonts w:ascii="Times New Roman" w:eastAsia="Times New Roman" w:hAnsi="Times New Roman" w:cs="Times New Roman"/>
          <w:sz w:val="24"/>
          <w:szCs w:val="24"/>
        </w:rPr>
        <w:t xml:space="preserve">, Sandra. (2018). What we talk about when we talk about Students as Partners. </w:t>
      </w:r>
      <w:r>
        <w:rPr>
          <w:rFonts w:ascii="Times New Roman" w:eastAsia="Times New Roman" w:hAnsi="Times New Roman" w:cs="Times New Roman"/>
          <w:i/>
          <w:sz w:val="24"/>
          <w:szCs w:val="24"/>
        </w:rPr>
        <w:t>International Journal for Students as Partners</w:t>
      </w:r>
      <w:r>
        <w:rPr>
          <w:rFonts w:ascii="Times New Roman" w:eastAsia="Times New Roman" w:hAnsi="Times New Roman" w:cs="Times New Roman"/>
          <w:sz w:val="24"/>
          <w:szCs w:val="24"/>
        </w:rPr>
        <w:t xml:space="preserve"> 2, 1-9. 10.15173/ijsap.v2i2.3790.</w:t>
      </w:r>
    </w:p>
    <w:p w14:paraId="3DAC56BB" w14:textId="77777777" w:rsidR="009928A9" w:rsidRDefault="00BF3419" w:rsidP="009928A9">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Deci, E. L., &amp; Ryan, R. M. (2017). </w:t>
      </w:r>
      <w:r>
        <w:rPr>
          <w:rFonts w:ascii="Times New Roman" w:eastAsia="Times New Roman" w:hAnsi="Times New Roman" w:cs="Times New Roman"/>
          <w:i/>
          <w:sz w:val="24"/>
          <w:szCs w:val="24"/>
        </w:rPr>
        <w:t>Self-determination theory: basic psychological needs in motivation, development, and wellness</w:t>
      </w:r>
      <w:r>
        <w:rPr>
          <w:rFonts w:ascii="Times New Roman" w:eastAsia="Times New Roman" w:hAnsi="Times New Roman" w:cs="Times New Roman"/>
          <w:sz w:val="24"/>
          <w:szCs w:val="24"/>
        </w:rPr>
        <w:t>. New York: The Guilford Press</w:t>
      </w:r>
    </w:p>
    <w:p w14:paraId="57D3019B" w14:textId="17881A07" w:rsidR="009928A9" w:rsidRDefault="009928A9" w:rsidP="009928A9">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Drèze</w:t>
      </w:r>
      <w:proofErr w:type="spellEnd"/>
      <w:r>
        <w:rPr>
          <w:rFonts w:ascii="Times New Roman" w:eastAsia="Times New Roman" w:hAnsi="Times New Roman" w:cs="Times New Roman"/>
          <w:sz w:val="24"/>
          <w:szCs w:val="24"/>
        </w:rPr>
        <w:t xml:space="preserve">, J., &amp; Sen, A. (2013). </w:t>
      </w:r>
      <w:r>
        <w:rPr>
          <w:rFonts w:ascii="Times New Roman" w:eastAsia="Times New Roman" w:hAnsi="Times New Roman" w:cs="Times New Roman"/>
          <w:i/>
          <w:sz w:val="24"/>
          <w:szCs w:val="24"/>
        </w:rPr>
        <w:t>An uncertain glory. India and its contradictions</w:t>
      </w:r>
      <w:r>
        <w:rPr>
          <w:rFonts w:ascii="Times New Roman" w:eastAsia="Times New Roman" w:hAnsi="Times New Roman" w:cs="Times New Roman"/>
          <w:sz w:val="24"/>
          <w:szCs w:val="24"/>
        </w:rPr>
        <w:t xml:space="preserve">. Princeton, NJ: Princeton University Press. https://doi.org/10.23943/9781400848775 </w:t>
      </w:r>
    </w:p>
    <w:p w14:paraId="2F7FB5F5" w14:textId="2969B860" w:rsidR="00861870" w:rsidRDefault="00861870" w:rsidP="0036425F">
      <w:pPr>
        <w:spacing w:after="100"/>
        <w:ind w:left="720" w:hanging="720"/>
        <w:jc w:val="both"/>
        <w:rPr>
          <w:rFonts w:ascii="Times New Roman" w:eastAsia="Times New Roman" w:hAnsi="Times New Roman" w:cs="Times New Roman"/>
          <w:sz w:val="24"/>
          <w:szCs w:val="24"/>
        </w:rPr>
      </w:pPr>
      <w:r w:rsidRPr="00861870">
        <w:rPr>
          <w:rFonts w:ascii="Times New Roman" w:eastAsia="Times New Roman" w:hAnsi="Times New Roman" w:cs="Times New Roman"/>
          <w:sz w:val="24"/>
          <w:szCs w:val="24"/>
        </w:rPr>
        <w:t xml:space="preserve">Duckworth, A. L., Peterson, C., Matthews, M. D., &amp; Kelly, D. R. (2007). Grit: Perseverance and passion for long-term goals. </w:t>
      </w:r>
      <w:r w:rsidRPr="00861870">
        <w:rPr>
          <w:rFonts w:ascii="Times New Roman" w:eastAsia="Times New Roman" w:hAnsi="Times New Roman" w:cs="Times New Roman"/>
          <w:i/>
          <w:iCs/>
          <w:sz w:val="24"/>
          <w:szCs w:val="24"/>
        </w:rPr>
        <w:t>Journal of Personality and Social Psychology,</w:t>
      </w:r>
      <w:r w:rsidRPr="00861870">
        <w:rPr>
          <w:rFonts w:ascii="Times New Roman" w:eastAsia="Times New Roman" w:hAnsi="Times New Roman" w:cs="Times New Roman"/>
          <w:sz w:val="24"/>
          <w:szCs w:val="24"/>
        </w:rPr>
        <w:t xml:space="preserve"> 92(6), 1087–1101. </w:t>
      </w:r>
      <w:hyperlink r:id="rId9" w:history="1">
        <w:r w:rsidRPr="0006551A">
          <w:rPr>
            <w:rStyle w:val="Hyperlink"/>
            <w:rFonts w:ascii="Times New Roman" w:eastAsia="Times New Roman" w:hAnsi="Times New Roman" w:cs="Times New Roman"/>
            <w:sz w:val="24"/>
            <w:szCs w:val="24"/>
          </w:rPr>
          <w:t>https://doi.org/10.1037/0022-3514.92.6.1087</w:t>
        </w:r>
      </w:hyperlink>
    </w:p>
    <w:p w14:paraId="7D1EB043" w14:textId="135B4556"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Emirbayer</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Mische</w:t>
      </w:r>
      <w:proofErr w:type="spellEnd"/>
      <w:r>
        <w:rPr>
          <w:rFonts w:ascii="Times New Roman" w:eastAsia="Times New Roman" w:hAnsi="Times New Roman" w:cs="Times New Roman"/>
          <w:sz w:val="24"/>
          <w:szCs w:val="24"/>
        </w:rPr>
        <w:t xml:space="preserve"> A. (1998). What is agency? </w:t>
      </w:r>
      <w:r>
        <w:rPr>
          <w:rFonts w:ascii="Times New Roman" w:eastAsia="Times New Roman" w:hAnsi="Times New Roman" w:cs="Times New Roman"/>
          <w:i/>
          <w:sz w:val="24"/>
          <w:szCs w:val="24"/>
        </w:rPr>
        <w:t>American Journal of Sociology</w:t>
      </w:r>
      <w:r>
        <w:rPr>
          <w:rFonts w:ascii="Times New Roman" w:eastAsia="Times New Roman" w:hAnsi="Times New Roman" w:cs="Times New Roman"/>
          <w:sz w:val="24"/>
          <w:szCs w:val="24"/>
        </w:rPr>
        <w:t xml:space="preserve"> 103(4), 962-1023. https://doi.org/10.1086/231294    </w:t>
      </w:r>
    </w:p>
    <w:p w14:paraId="1D5CEDCF"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European Commission (2022). </w:t>
      </w:r>
      <w:r>
        <w:rPr>
          <w:rFonts w:ascii="Times New Roman" w:eastAsia="Times New Roman" w:hAnsi="Times New Roman" w:cs="Times New Roman"/>
          <w:i/>
          <w:sz w:val="24"/>
          <w:szCs w:val="24"/>
        </w:rPr>
        <w:t>Communication from the Commission to the European Parliament, the Council, the European Economic and Social Committee and the Committee of the Regions on a European strategy for universities</w:t>
      </w:r>
      <w:r>
        <w:rPr>
          <w:rFonts w:ascii="Times New Roman" w:eastAsia="Times New Roman" w:hAnsi="Times New Roman" w:cs="Times New Roman"/>
          <w:sz w:val="24"/>
          <w:szCs w:val="24"/>
        </w:rPr>
        <w:t>. COM(2022) Strasbourg, 18.1.2022,</w:t>
      </w:r>
      <w:hyperlink r:id="rId10">
        <w:r>
          <w:rPr>
            <w:rFonts w:ascii="Times New Roman" w:eastAsia="Times New Roman" w:hAnsi="Times New Roman" w:cs="Times New Roman"/>
            <w:sz w:val="24"/>
            <w:szCs w:val="24"/>
          </w:rPr>
          <w:t xml:space="preserve"> </w:t>
        </w:r>
      </w:hyperlink>
      <w:hyperlink r:id="rId11">
        <w:r>
          <w:rPr>
            <w:rFonts w:ascii="Times New Roman" w:eastAsia="Times New Roman" w:hAnsi="Times New Roman" w:cs="Times New Roman"/>
            <w:sz w:val="24"/>
            <w:szCs w:val="24"/>
            <w:u w:val="single"/>
          </w:rPr>
          <w:t>https://education.ec.europa.eu/document/commission-communication-on-a-european-strategy-for-universities</w:t>
        </w:r>
      </w:hyperlink>
      <w:r>
        <w:rPr>
          <w:rFonts w:ascii="Times New Roman" w:eastAsia="Times New Roman" w:hAnsi="Times New Roman" w:cs="Times New Roman"/>
          <w:sz w:val="24"/>
          <w:szCs w:val="24"/>
        </w:rPr>
        <w:t xml:space="preserve"> </w:t>
      </w:r>
    </w:p>
    <w:p w14:paraId="72C37177" w14:textId="77777777" w:rsidR="00170769" w:rsidRDefault="00BF3419" w:rsidP="0036425F">
      <w:pPr>
        <w:spacing w:after="100"/>
        <w:ind w:left="720" w:hanging="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European Commission, Directorate-General for Education, Youth, Sport and Culture, </w:t>
      </w:r>
      <w:proofErr w:type="spellStart"/>
      <w:r>
        <w:rPr>
          <w:rFonts w:ascii="Times New Roman" w:eastAsia="Times New Roman" w:hAnsi="Times New Roman" w:cs="Times New Roman"/>
          <w:sz w:val="24"/>
          <w:szCs w:val="24"/>
        </w:rPr>
        <w:t>Pupinis</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Kirdulytė</w:t>
      </w:r>
      <w:proofErr w:type="spellEnd"/>
      <w:r>
        <w:rPr>
          <w:rFonts w:ascii="Times New Roman" w:eastAsia="Times New Roman" w:hAnsi="Times New Roman" w:cs="Times New Roman"/>
          <w:sz w:val="24"/>
          <w:szCs w:val="24"/>
        </w:rPr>
        <w:t xml:space="preserve">, G., Klemenčič, M., (2020). </w:t>
      </w:r>
      <w:r>
        <w:rPr>
          <w:rFonts w:ascii="Times New Roman" w:eastAsia="Times New Roman" w:hAnsi="Times New Roman" w:cs="Times New Roman"/>
          <w:i/>
          <w:sz w:val="24"/>
          <w:szCs w:val="24"/>
        </w:rPr>
        <w:t xml:space="preserve">Mapping and analysis of student </w:t>
      </w:r>
      <w:proofErr w:type="spellStart"/>
      <w:r>
        <w:rPr>
          <w:rFonts w:ascii="Times New Roman" w:eastAsia="Times New Roman" w:hAnsi="Times New Roman" w:cs="Times New Roman"/>
          <w:i/>
          <w:sz w:val="24"/>
          <w:szCs w:val="24"/>
        </w:rPr>
        <w:t>centred</w:t>
      </w:r>
      <w:proofErr w:type="spellEnd"/>
      <w:r>
        <w:rPr>
          <w:rFonts w:ascii="Times New Roman" w:eastAsia="Times New Roman" w:hAnsi="Times New Roman" w:cs="Times New Roman"/>
          <w:i/>
          <w:sz w:val="24"/>
          <w:szCs w:val="24"/>
        </w:rPr>
        <w:t xml:space="preserve"> learning and teaching practices: usable knowledge to support more inclusive, high-quality higher education: analytical report</w:t>
      </w:r>
      <w:r>
        <w:rPr>
          <w:rFonts w:ascii="Times New Roman" w:eastAsia="Times New Roman" w:hAnsi="Times New Roman" w:cs="Times New Roman"/>
          <w:sz w:val="24"/>
          <w:szCs w:val="24"/>
        </w:rPr>
        <w:t>, Publications Office, 2020,</w:t>
      </w:r>
      <w:hyperlink r:id="rId12">
        <w:r>
          <w:rPr>
            <w:rFonts w:ascii="Times New Roman" w:eastAsia="Times New Roman" w:hAnsi="Times New Roman" w:cs="Times New Roman"/>
            <w:sz w:val="24"/>
            <w:szCs w:val="24"/>
          </w:rPr>
          <w:t xml:space="preserve"> </w:t>
        </w:r>
      </w:hyperlink>
      <w:hyperlink r:id="rId13">
        <w:r>
          <w:rPr>
            <w:rFonts w:ascii="Times New Roman" w:eastAsia="Times New Roman" w:hAnsi="Times New Roman" w:cs="Times New Roman"/>
            <w:sz w:val="24"/>
            <w:szCs w:val="24"/>
            <w:u w:val="single"/>
          </w:rPr>
          <w:t>https://data.europa.eu/doi/10.2766/67668</w:t>
        </w:r>
      </w:hyperlink>
    </w:p>
    <w:p w14:paraId="5CA344D5"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Fielding, M. (2001). Students as radical agents of change. </w:t>
      </w:r>
      <w:r>
        <w:rPr>
          <w:rFonts w:ascii="Times New Roman" w:eastAsia="Times New Roman" w:hAnsi="Times New Roman" w:cs="Times New Roman"/>
          <w:i/>
          <w:sz w:val="24"/>
          <w:szCs w:val="24"/>
        </w:rPr>
        <w:t>Journal of Educational Change</w:t>
      </w:r>
      <w:r>
        <w:rPr>
          <w:rFonts w:ascii="Times New Roman" w:eastAsia="Times New Roman" w:hAnsi="Times New Roman" w:cs="Times New Roman"/>
          <w:sz w:val="24"/>
          <w:szCs w:val="24"/>
        </w:rPr>
        <w:t>, 2(3), 123-141.</w:t>
      </w:r>
    </w:p>
    <w:p w14:paraId="7E94825B"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Fielding, M. (2004). ‘New wave’ student voice and the renewal of civic society. </w:t>
      </w:r>
      <w:r>
        <w:rPr>
          <w:rFonts w:ascii="Times New Roman" w:eastAsia="Times New Roman" w:hAnsi="Times New Roman" w:cs="Times New Roman"/>
          <w:i/>
          <w:sz w:val="24"/>
          <w:szCs w:val="24"/>
        </w:rPr>
        <w:t>London Review of Education</w:t>
      </w:r>
      <w:r>
        <w:rPr>
          <w:rFonts w:ascii="Times New Roman" w:eastAsia="Times New Roman" w:hAnsi="Times New Roman" w:cs="Times New Roman"/>
          <w:sz w:val="24"/>
          <w:szCs w:val="24"/>
        </w:rPr>
        <w:t>, 2(3), 197-217</w:t>
      </w:r>
    </w:p>
    <w:p w14:paraId="5FF77095"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Giddens, A. (1984). </w:t>
      </w:r>
      <w:r>
        <w:rPr>
          <w:rFonts w:ascii="Times New Roman" w:eastAsia="Times New Roman" w:hAnsi="Times New Roman" w:cs="Times New Roman"/>
          <w:i/>
          <w:sz w:val="24"/>
          <w:szCs w:val="24"/>
        </w:rPr>
        <w:t>The constitution of society: Outline of the theory of structuration.</w:t>
      </w:r>
      <w:r>
        <w:rPr>
          <w:rFonts w:ascii="Times New Roman" w:eastAsia="Times New Roman" w:hAnsi="Times New Roman" w:cs="Times New Roman"/>
          <w:sz w:val="24"/>
          <w:szCs w:val="24"/>
        </w:rPr>
        <w:t xml:space="preserve"> Cambridge: Polity Press.</w:t>
      </w:r>
    </w:p>
    <w:p w14:paraId="638ABCE8"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Griffiths, Teri-Lisa, Jill Dickinson, Catherine J. Day. (2021). Exploring the relationship between extracurricular activities and student self-efficacy within university. </w:t>
      </w:r>
      <w:r>
        <w:rPr>
          <w:rFonts w:ascii="Times New Roman" w:eastAsia="Times New Roman" w:hAnsi="Times New Roman" w:cs="Times New Roman"/>
          <w:i/>
          <w:sz w:val="24"/>
          <w:szCs w:val="24"/>
        </w:rPr>
        <w:t>Journal of Further and Higher Education</w:t>
      </w:r>
      <w:r>
        <w:rPr>
          <w:rFonts w:ascii="Times New Roman" w:eastAsia="Times New Roman" w:hAnsi="Times New Roman" w:cs="Times New Roman"/>
          <w:sz w:val="24"/>
          <w:szCs w:val="24"/>
        </w:rPr>
        <w:t xml:space="preserve"> 45:9: 1294-1309</w:t>
      </w:r>
    </w:p>
    <w:p w14:paraId="2B1576DC" w14:textId="45E5920A" w:rsidR="00F45C00" w:rsidRDefault="00F45C00"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Gumport</w:t>
      </w:r>
      <w:proofErr w:type="spellEnd"/>
      <w:r>
        <w:rPr>
          <w:rFonts w:ascii="Times New Roman" w:eastAsia="Times New Roman" w:hAnsi="Times New Roman" w:cs="Times New Roman"/>
          <w:sz w:val="24"/>
          <w:szCs w:val="24"/>
        </w:rPr>
        <w:t xml:space="preserve">, P. J. (2012). </w:t>
      </w:r>
      <w:r w:rsidRPr="00F45C00">
        <w:rPr>
          <w:rFonts w:ascii="Times New Roman" w:eastAsia="Times New Roman" w:hAnsi="Times New Roman" w:cs="Times New Roman"/>
          <w:sz w:val="24"/>
          <w:szCs w:val="24"/>
        </w:rPr>
        <w:t xml:space="preserve">Strategic Thinking in Higher Education Research. In M. </w:t>
      </w:r>
      <w:proofErr w:type="spellStart"/>
      <w:r w:rsidRPr="00F45C00">
        <w:rPr>
          <w:rFonts w:ascii="Times New Roman" w:eastAsia="Times New Roman" w:hAnsi="Times New Roman" w:cs="Times New Roman"/>
          <w:sz w:val="24"/>
          <w:szCs w:val="24"/>
        </w:rPr>
        <w:t>Bastedo</w:t>
      </w:r>
      <w:proofErr w:type="spellEnd"/>
      <w:r w:rsidRPr="00F45C00">
        <w:rPr>
          <w:rFonts w:ascii="Times New Roman" w:eastAsia="Times New Roman" w:hAnsi="Times New Roman" w:cs="Times New Roman"/>
          <w:sz w:val="24"/>
          <w:szCs w:val="24"/>
        </w:rPr>
        <w:t xml:space="preserve"> (ed.) </w:t>
      </w:r>
      <w:r w:rsidRPr="00F45C00">
        <w:rPr>
          <w:rFonts w:ascii="Times New Roman" w:eastAsia="Times New Roman" w:hAnsi="Times New Roman" w:cs="Times New Roman"/>
          <w:i/>
          <w:iCs/>
          <w:sz w:val="24"/>
          <w:szCs w:val="24"/>
        </w:rPr>
        <w:t>The Organization of Higher Education: Managing Colleges for a New Era</w:t>
      </w:r>
      <w:r w:rsidRPr="00F45C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(pp.</w:t>
      </w:r>
      <w:r w:rsidRPr="00F45C00">
        <w:rPr>
          <w:rFonts w:ascii="Times New Roman" w:eastAsia="Times New Roman" w:hAnsi="Times New Roman" w:cs="Times New Roman"/>
          <w:sz w:val="24"/>
          <w:szCs w:val="24"/>
        </w:rPr>
        <w:t>18-41</w:t>
      </w:r>
      <w:r>
        <w:rPr>
          <w:rFonts w:ascii="Times New Roman" w:eastAsia="Times New Roman" w:hAnsi="Times New Roman" w:cs="Times New Roman"/>
          <w:sz w:val="24"/>
          <w:szCs w:val="24"/>
        </w:rPr>
        <w:t xml:space="preserve">). </w:t>
      </w:r>
      <w:r w:rsidRPr="00F45C00">
        <w:rPr>
          <w:rFonts w:ascii="Times New Roman" w:eastAsia="Times New Roman" w:hAnsi="Times New Roman" w:cs="Times New Roman"/>
          <w:sz w:val="24"/>
          <w:szCs w:val="24"/>
        </w:rPr>
        <w:t>Baltimore, MD: Johns Hopkins University Press.</w:t>
      </w:r>
    </w:p>
    <w:p w14:paraId="5C7DF5BC" w14:textId="7507109E"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Gurin, Patricia, Eric Dey, Sylvia Hurtado, and Gerald Gurin (2002). Diversity and Higher Education: Theory and Impact on Educational Outcomes. </w:t>
      </w:r>
      <w:r>
        <w:rPr>
          <w:rFonts w:ascii="Times New Roman" w:eastAsia="Times New Roman" w:hAnsi="Times New Roman" w:cs="Times New Roman"/>
          <w:i/>
          <w:sz w:val="24"/>
          <w:szCs w:val="24"/>
        </w:rPr>
        <w:t>Harvard Educational Review</w:t>
      </w:r>
      <w:r>
        <w:rPr>
          <w:rFonts w:ascii="Times New Roman" w:eastAsia="Times New Roman" w:hAnsi="Times New Roman" w:cs="Times New Roman"/>
          <w:sz w:val="24"/>
          <w:szCs w:val="24"/>
        </w:rPr>
        <w:t>: September 2002, Vol. 72, No. 3, pp. 330-367.</w:t>
      </w:r>
    </w:p>
    <w:p w14:paraId="774D5F43" w14:textId="01404235"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Hall, P., &amp; Lamont, M. (2009). Introduction. In P. Hall &amp; M. Lamont (Eds.)</w:t>
      </w:r>
      <w:r w:rsidR="000B4414">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Pr="000B4414">
        <w:rPr>
          <w:rFonts w:ascii="Times New Roman" w:eastAsia="Times New Roman" w:hAnsi="Times New Roman" w:cs="Times New Roman"/>
          <w:i/>
          <w:iCs/>
          <w:sz w:val="24"/>
          <w:szCs w:val="24"/>
          <w:highlight w:val="white"/>
        </w:rPr>
        <w:t>Successful Societies: How Institutions and Culture Affect Health</w:t>
      </w:r>
      <w:r>
        <w:rPr>
          <w:rFonts w:ascii="Times New Roman" w:eastAsia="Times New Roman" w:hAnsi="Times New Roman" w:cs="Times New Roman"/>
          <w:sz w:val="24"/>
          <w:szCs w:val="24"/>
          <w:highlight w:val="white"/>
        </w:rPr>
        <w:t xml:space="preserve"> (pp. 1-22). Cambridge: Cambridge University Press. doi:10.1017/CBO9780511816192.002</w:t>
      </w:r>
    </w:p>
    <w:p w14:paraId="0B155147" w14:textId="1AEAD3A1"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Healey, M.,</w:t>
      </w:r>
      <w:r w:rsidR="00595F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Flint,</w:t>
      </w:r>
      <w:r w:rsidR="00595F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&amp; Harrington, K. (2014). Engagement</w:t>
      </w:r>
      <w:r>
        <w:rPr>
          <w:rFonts w:ascii="Times New Roman" w:eastAsia="Times New Roman" w:hAnsi="Times New Roman" w:cs="Times New Roman"/>
          <w:sz w:val="24"/>
          <w:szCs w:val="24"/>
        </w:rPr>
        <w:tab/>
        <w:t>through</w:t>
      </w:r>
      <w:r w:rsidR="00AE1B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partnership: Students as partners</w:t>
      </w:r>
      <w:r>
        <w:rPr>
          <w:rFonts w:ascii="Times New Roman" w:eastAsia="Times New Roman" w:hAnsi="Times New Roman" w:cs="Times New Roman"/>
          <w:sz w:val="24"/>
          <w:szCs w:val="24"/>
        </w:rPr>
        <w:tab/>
        <w:t>in learning and teaching in higher education. York: Higher Education Academy.</w:t>
      </w:r>
      <w:r w:rsidR="00595F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https://www.heacademy.ac.uk/system/files/resources/engagement_through_partnership.pdf </w:t>
      </w:r>
    </w:p>
    <w:p w14:paraId="4BDBDA26" w14:textId="77777777" w:rsidR="00170769" w:rsidRPr="00507EAC" w:rsidRDefault="00BF3419" w:rsidP="0036425F">
      <w:pPr>
        <w:spacing w:after="100"/>
        <w:ind w:left="720" w:hanging="720"/>
        <w:jc w:val="both"/>
        <w:rPr>
          <w:rFonts w:ascii="Times New Roman" w:eastAsia="Times New Roman" w:hAnsi="Times New Roman" w:cs="Times New Roman"/>
          <w:sz w:val="24"/>
          <w:szCs w:val="24"/>
          <w:u w:val="single"/>
          <w:lang w:val="de-DE"/>
        </w:rPr>
      </w:pPr>
      <w:proofErr w:type="spellStart"/>
      <w:r w:rsidRPr="00507EAC">
        <w:rPr>
          <w:rFonts w:ascii="Times New Roman" w:eastAsia="Times New Roman" w:hAnsi="Times New Roman" w:cs="Times New Roman"/>
          <w:sz w:val="24"/>
          <w:szCs w:val="24"/>
          <w:lang w:val="de-DE"/>
        </w:rPr>
        <w:t>Heilala</w:t>
      </w:r>
      <w:proofErr w:type="spellEnd"/>
      <w:r w:rsidRPr="00507EAC">
        <w:rPr>
          <w:rFonts w:ascii="Times New Roman" w:eastAsia="Times New Roman" w:hAnsi="Times New Roman" w:cs="Times New Roman"/>
          <w:sz w:val="24"/>
          <w:szCs w:val="24"/>
          <w:lang w:val="de-DE"/>
        </w:rPr>
        <w:t xml:space="preserve"> V., </w:t>
      </w:r>
      <w:proofErr w:type="spellStart"/>
      <w:r w:rsidRPr="00507EAC">
        <w:rPr>
          <w:rFonts w:ascii="Times New Roman" w:eastAsia="Times New Roman" w:hAnsi="Times New Roman" w:cs="Times New Roman"/>
          <w:sz w:val="24"/>
          <w:szCs w:val="24"/>
          <w:lang w:val="de-DE"/>
        </w:rPr>
        <w:t>Jääskelä</w:t>
      </w:r>
      <w:proofErr w:type="spellEnd"/>
      <w:r w:rsidRPr="00507EAC">
        <w:rPr>
          <w:rFonts w:ascii="Times New Roman" w:eastAsia="Times New Roman" w:hAnsi="Times New Roman" w:cs="Times New Roman"/>
          <w:sz w:val="24"/>
          <w:szCs w:val="24"/>
          <w:lang w:val="de-DE"/>
        </w:rPr>
        <w:t xml:space="preserve"> P., </w:t>
      </w:r>
      <w:proofErr w:type="spellStart"/>
      <w:r w:rsidRPr="00507EAC">
        <w:rPr>
          <w:rFonts w:ascii="Times New Roman" w:eastAsia="Times New Roman" w:hAnsi="Times New Roman" w:cs="Times New Roman"/>
          <w:sz w:val="24"/>
          <w:szCs w:val="24"/>
          <w:lang w:val="de-DE"/>
        </w:rPr>
        <w:t>Kärkkäinen</w:t>
      </w:r>
      <w:proofErr w:type="spellEnd"/>
      <w:r w:rsidRPr="00507EAC">
        <w:rPr>
          <w:rFonts w:ascii="Times New Roman" w:eastAsia="Times New Roman" w:hAnsi="Times New Roman" w:cs="Times New Roman"/>
          <w:sz w:val="24"/>
          <w:szCs w:val="24"/>
          <w:lang w:val="de-DE"/>
        </w:rPr>
        <w:t xml:space="preserve"> T., </w:t>
      </w:r>
      <w:proofErr w:type="spellStart"/>
      <w:r w:rsidRPr="00507EAC">
        <w:rPr>
          <w:rFonts w:ascii="Times New Roman" w:eastAsia="Times New Roman" w:hAnsi="Times New Roman" w:cs="Times New Roman"/>
          <w:sz w:val="24"/>
          <w:szCs w:val="24"/>
          <w:lang w:val="de-DE"/>
        </w:rPr>
        <w:t>Saarela</w:t>
      </w:r>
      <w:proofErr w:type="spellEnd"/>
      <w:r w:rsidRPr="00507EAC">
        <w:rPr>
          <w:rFonts w:ascii="Times New Roman" w:eastAsia="Times New Roman" w:hAnsi="Times New Roman" w:cs="Times New Roman"/>
          <w:sz w:val="24"/>
          <w:szCs w:val="24"/>
          <w:lang w:val="de-DE"/>
        </w:rPr>
        <w:t xml:space="preserve"> M. (2020a). </w:t>
      </w:r>
      <w:r>
        <w:rPr>
          <w:rFonts w:ascii="Times New Roman" w:eastAsia="Times New Roman" w:hAnsi="Times New Roman" w:cs="Times New Roman"/>
          <w:sz w:val="24"/>
          <w:szCs w:val="24"/>
        </w:rPr>
        <w:t xml:space="preserve">Understanding the Study Experiences of Students in Low Agency Profile: Towards a Smart Education Approach. In: El </w:t>
      </w:r>
      <w:proofErr w:type="spellStart"/>
      <w:r>
        <w:rPr>
          <w:rFonts w:ascii="Times New Roman" w:eastAsia="Times New Roman" w:hAnsi="Times New Roman" w:cs="Times New Roman"/>
          <w:sz w:val="24"/>
          <w:szCs w:val="24"/>
        </w:rPr>
        <w:t>Moussati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Kpalma</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Ghaouth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Belkasmi</w:t>
      </w:r>
      <w:proofErr w:type="spellEnd"/>
      <w:r>
        <w:rPr>
          <w:rFonts w:ascii="Times New Roman" w:eastAsia="Times New Roman" w:hAnsi="Times New Roman" w:cs="Times New Roman"/>
          <w:sz w:val="24"/>
          <w:szCs w:val="24"/>
        </w:rPr>
        <w:t xml:space="preserve"> M., Saber M., </w:t>
      </w:r>
      <w:proofErr w:type="spellStart"/>
      <w:r>
        <w:rPr>
          <w:rFonts w:ascii="Times New Roman" w:eastAsia="Times New Roman" w:hAnsi="Times New Roman" w:cs="Times New Roman"/>
          <w:sz w:val="24"/>
          <w:szCs w:val="24"/>
        </w:rPr>
        <w:t>Guégan</w:t>
      </w:r>
      <w:proofErr w:type="spellEnd"/>
      <w:r>
        <w:rPr>
          <w:rFonts w:ascii="Times New Roman" w:eastAsia="Times New Roman" w:hAnsi="Times New Roman" w:cs="Times New Roman"/>
          <w:sz w:val="24"/>
          <w:szCs w:val="24"/>
        </w:rPr>
        <w:t xml:space="preserve"> S. (eds) </w:t>
      </w:r>
      <w:r>
        <w:rPr>
          <w:rFonts w:ascii="Times New Roman" w:eastAsia="Times New Roman" w:hAnsi="Times New Roman" w:cs="Times New Roman"/>
          <w:i/>
          <w:sz w:val="24"/>
          <w:szCs w:val="24"/>
        </w:rPr>
        <w:t xml:space="preserve">Advances in Smart Technologies Applications and Case Studies. </w:t>
      </w:r>
      <w:proofErr w:type="spellStart"/>
      <w:r>
        <w:rPr>
          <w:rFonts w:ascii="Times New Roman" w:eastAsia="Times New Roman" w:hAnsi="Times New Roman" w:cs="Times New Roman"/>
          <w:i/>
          <w:sz w:val="24"/>
          <w:szCs w:val="24"/>
        </w:rPr>
        <w:t>SmartICT</w:t>
      </w:r>
      <w:proofErr w:type="spellEnd"/>
      <w:r>
        <w:rPr>
          <w:rFonts w:ascii="Times New Roman" w:eastAsia="Times New Roman" w:hAnsi="Times New Roman" w:cs="Times New Roman"/>
          <w:i/>
          <w:sz w:val="24"/>
          <w:szCs w:val="24"/>
        </w:rPr>
        <w:t xml:space="preserve"> 2019</w:t>
      </w:r>
      <w:r>
        <w:rPr>
          <w:rFonts w:ascii="Times New Roman" w:eastAsia="Times New Roman" w:hAnsi="Times New Roman" w:cs="Times New Roman"/>
          <w:sz w:val="24"/>
          <w:szCs w:val="24"/>
        </w:rPr>
        <w:t>. Lecture Notes in Electrical Engineering, vol 684. (pp. 498-508) Springer, Cham.</w:t>
      </w:r>
      <w:hyperlink r:id="rId14">
        <w:r>
          <w:rPr>
            <w:rFonts w:ascii="Times New Roman" w:eastAsia="Times New Roman" w:hAnsi="Times New Roman" w:cs="Times New Roman"/>
            <w:sz w:val="24"/>
            <w:szCs w:val="24"/>
          </w:rPr>
          <w:t xml:space="preserve"> </w:t>
        </w:r>
      </w:hyperlink>
      <w:hyperlink r:id="rId15">
        <w:r w:rsidRPr="00507EAC">
          <w:rPr>
            <w:rFonts w:ascii="Times New Roman" w:eastAsia="Times New Roman" w:hAnsi="Times New Roman" w:cs="Times New Roman"/>
            <w:sz w:val="24"/>
            <w:szCs w:val="24"/>
            <w:u w:val="single"/>
            <w:lang w:val="de-DE"/>
          </w:rPr>
          <w:t>https://doi.org/10.1007/978-3-030-53187-4_54</w:t>
        </w:r>
      </w:hyperlink>
    </w:p>
    <w:p w14:paraId="4C4CB6FA" w14:textId="7777777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sidRPr="00507EAC">
        <w:rPr>
          <w:rFonts w:ascii="Times New Roman" w:eastAsia="Times New Roman" w:hAnsi="Times New Roman" w:cs="Times New Roman"/>
          <w:sz w:val="24"/>
          <w:szCs w:val="24"/>
          <w:lang w:val="de-DE"/>
        </w:rPr>
        <w:t>Heilala</w:t>
      </w:r>
      <w:proofErr w:type="spellEnd"/>
      <w:r w:rsidRPr="00507EAC">
        <w:rPr>
          <w:rFonts w:ascii="Times New Roman" w:eastAsia="Times New Roman" w:hAnsi="Times New Roman" w:cs="Times New Roman"/>
          <w:sz w:val="24"/>
          <w:szCs w:val="24"/>
          <w:lang w:val="de-DE"/>
        </w:rPr>
        <w:t xml:space="preserve">, V., M. </w:t>
      </w:r>
      <w:proofErr w:type="spellStart"/>
      <w:r w:rsidRPr="00507EAC">
        <w:rPr>
          <w:rFonts w:ascii="Times New Roman" w:eastAsia="Times New Roman" w:hAnsi="Times New Roman" w:cs="Times New Roman"/>
          <w:sz w:val="24"/>
          <w:szCs w:val="24"/>
          <w:lang w:val="de-DE"/>
        </w:rPr>
        <w:t>Saarela</w:t>
      </w:r>
      <w:proofErr w:type="spellEnd"/>
      <w:r w:rsidRPr="00507EAC">
        <w:rPr>
          <w:rFonts w:ascii="Times New Roman" w:eastAsia="Times New Roman" w:hAnsi="Times New Roman" w:cs="Times New Roman"/>
          <w:sz w:val="24"/>
          <w:szCs w:val="24"/>
          <w:lang w:val="de-DE"/>
        </w:rPr>
        <w:t xml:space="preserve">, P. </w:t>
      </w:r>
      <w:proofErr w:type="spellStart"/>
      <w:r w:rsidRPr="00507EAC">
        <w:rPr>
          <w:rFonts w:ascii="Times New Roman" w:eastAsia="Times New Roman" w:hAnsi="Times New Roman" w:cs="Times New Roman"/>
          <w:sz w:val="24"/>
          <w:szCs w:val="24"/>
          <w:lang w:val="de-DE"/>
        </w:rPr>
        <w:t>Jääskelä</w:t>
      </w:r>
      <w:proofErr w:type="spellEnd"/>
      <w:r w:rsidRPr="00507EAC">
        <w:rPr>
          <w:rFonts w:ascii="Times New Roman" w:eastAsia="Times New Roman" w:hAnsi="Times New Roman" w:cs="Times New Roman"/>
          <w:sz w:val="24"/>
          <w:szCs w:val="24"/>
          <w:lang w:val="de-DE"/>
        </w:rPr>
        <w:t xml:space="preserve">, </w:t>
      </w:r>
      <w:proofErr w:type="spellStart"/>
      <w:r w:rsidRPr="00507EAC">
        <w:rPr>
          <w:rFonts w:ascii="Times New Roman" w:eastAsia="Times New Roman" w:hAnsi="Times New Roman" w:cs="Times New Roman"/>
          <w:sz w:val="24"/>
          <w:szCs w:val="24"/>
          <w:lang w:val="de-DE"/>
        </w:rPr>
        <w:t>and</w:t>
      </w:r>
      <w:proofErr w:type="spellEnd"/>
      <w:r w:rsidRPr="00507EAC">
        <w:rPr>
          <w:rFonts w:ascii="Times New Roman" w:eastAsia="Times New Roman" w:hAnsi="Times New Roman" w:cs="Times New Roman"/>
          <w:sz w:val="24"/>
          <w:szCs w:val="24"/>
          <w:lang w:val="de-DE"/>
        </w:rPr>
        <w:t xml:space="preserve"> T. </w:t>
      </w:r>
      <w:proofErr w:type="spellStart"/>
      <w:r w:rsidRPr="00507EAC">
        <w:rPr>
          <w:rFonts w:ascii="Times New Roman" w:eastAsia="Times New Roman" w:hAnsi="Times New Roman" w:cs="Times New Roman"/>
          <w:sz w:val="24"/>
          <w:szCs w:val="24"/>
          <w:lang w:val="de-DE"/>
        </w:rPr>
        <w:t>Kärkkäinen</w:t>
      </w:r>
      <w:proofErr w:type="spellEnd"/>
      <w:r w:rsidRPr="00507EAC">
        <w:rPr>
          <w:rFonts w:ascii="Times New Roman" w:eastAsia="Times New Roman" w:hAnsi="Times New Roman" w:cs="Times New Roman"/>
          <w:sz w:val="24"/>
          <w:szCs w:val="24"/>
          <w:lang w:val="de-DE"/>
        </w:rPr>
        <w:t xml:space="preserve"> (2020b). </w:t>
      </w:r>
      <w:r>
        <w:rPr>
          <w:rFonts w:ascii="Times New Roman" w:eastAsia="Times New Roman" w:hAnsi="Times New Roman" w:cs="Times New Roman"/>
          <w:sz w:val="24"/>
          <w:szCs w:val="24"/>
        </w:rPr>
        <w:t xml:space="preserve">Course Satisfaction in Engineering Education Through the Lens of Student Agency Analytics, </w:t>
      </w:r>
      <w:r>
        <w:rPr>
          <w:rFonts w:ascii="Times New Roman" w:eastAsia="Times New Roman" w:hAnsi="Times New Roman" w:cs="Times New Roman"/>
          <w:i/>
          <w:sz w:val="24"/>
          <w:szCs w:val="24"/>
        </w:rPr>
        <w:t>2020 IEEE Frontiers in Education Conference</w:t>
      </w:r>
      <w:r>
        <w:rPr>
          <w:rFonts w:ascii="Times New Roman" w:eastAsia="Times New Roman" w:hAnsi="Times New Roman" w:cs="Times New Roman"/>
          <w:sz w:val="24"/>
          <w:szCs w:val="24"/>
        </w:rPr>
        <w:t xml:space="preserve"> (FIE), Uppsala, Sweden, 2020, pp. 1-9, DOI: https://doi.org/10.1109/FIE44824.2020.9274141 </w:t>
      </w:r>
    </w:p>
    <w:p w14:paraId="091CF694" w14:textId="1938A9BF" w:rsidR="0081608E" w:rsidRPr="0081608E" w:rsidRDefault="00BF3419" w:rsidP="000B4414">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Hurtado, S. (2007). The Study of College Impact. In </w:t>
      </w:r>
      <w:proofErr w:type="spellStart"/>
      <w:r>
        <w:rPr>
          <w:rFonts w:ascii="Times New Roman" w:eastAsia="Times New Roman" w:hAnsi="Times New Roman" w:cs="Times New Roman"/>
          <w:sz w:val="24"/>
          <w:szCs w:val="24"/>
        </w:rPr>
        <w:t>Gumport</w:t>
      </w:r>
      <w:proofErr w:type="spellEnd"/>
      <w:r>
        <w:rPr>
          <w:rFonts w:ascii="Times New Roman" w:eastAsia="Times New Roman" w:hAnsi="Times New Roman" w:cs="Times New Roman"/>
          <w:sz w:val="24"/>
          <w:szCs w:val="24"/>
        </w:rPr>
        <w:t xml:space="preserve">, P. (ed.) </w:t>
      </w:r>
      <w:r>
        <w:rPr>
          <w:rFonts w:ascii="Times New Roman" w:eastAsia="Times New Roman" w:hAnsi="Times New Roman" w:cs="Times New Roman"/>
          <w:i/>
          <w:sz w:val="24"/>
          <w:szCs w:val="24"/>
        </w:rPr>
        <w:t>Sociology of Higher Education</w:t>
      </w:r>
      <w:r>
        <w:rPr>
          <w:rFonts w:ascii="Times New Roman" w:eastAsia="Times New Roman" w:hAnsi="Times New Roman" w:cs="Times New Roman"/>
          <w:sz w:val="24"/>
          <w:szCs w:val="24"/>
        </w:rPr>
        <w:t xml:space="preserve">. (94-112) Baltimore: John Hopkins University Press. </w:t>
      </w:r>
    </w:p>
    <w:p w14:paraId="3E1F1AE4" w14:textId="6FC13566" w:rsidR="0081608E" w:rsidRPr="0081608E" w:rsidRDefault="0081608E" w:rsidP="0081608E">
      <w:pPr>
        <w:spacing w:after="100"/>
        <w:ind w:left="720" w:hanging="720"/>
        <w:jc w:val="both"/>
        <w:rPr>
          <w:rFonts w:ascii="Times New Roman" w:eastAsia="Times New Roman" w:hAnsi="Times New Roman" w:cs="Times New Roman"/>
          <w:sz w:val="24"/>
          <w:szCs w:val="24"/>
        </w:rPr>
      </w:pPr>
      <w:r w:rsidRPr="0081608E">
        <w:rPr>
          <w:rFonts w:ascii="Times New Roman" w:eastAsia="Times New Roman" w:hAnsi="Times New Roman" w:cs="Times New Roman"/>
          <w:sz w:val="24"/>
          <w:szCs w:val="24"/>
        </w:rPr>
        <w:t>Hurtado, S., Alvarez, C. L., Guillermo-</w:t>
      </w:r>
      <w:proofErr w:type="spellStart"/>
      <w:r w:rsidRPr="0081608E">
        <w:rPr>
          <w:rFonts w:ascii="Times New Roman" w:eastAsia="Times New Roman" w:hAnsi="Times New Roman" w:cs="Times New Roman"/>
          <w:sz w:val="24"/>
          <w:szCs w:val="24"/>
        </w:rPr>
        <w:t>Wann</w:t>
      </w:r>
      <w:proofErr w:type="spellEnd"/>
      <w:r w:rsidRPr="0081608E">
        <w:rPr>
          <w:rFonts w:ascii="Times New Roman" w:eastAsia="Times New Roman" w:hAnsi="Times New Roman" w:cs="Times New Roman"/>
          <w:sz w:val="24"/>
          <w:szCs w:val="24"/>
        </w:rPr>
        <w:t xml:space="preserve">, C, Cuellar, M., &amp; Arellano, L. (2012). A model for diverse learning environments: The scholarship on creating and assessing conditions for </w:t>
      </w:r>
      <w:r w:rsidRPr="0081608E">
        <w:rPr>
          <w:rFonts w:ascii="Times New Roman" w:eastAsia="Times New Roman" w:hAnsi="Times New Roman" w:cs="Times New Roman"/>
          <w:sz w:val="24"/>
          <w:szCs w:val="24"/>
        </w:rPr>
        <w:lastRenderedPageBreak/>
        <w:t>student success. In J.C. Smart, &amp; M.B. Paulsen (Eds.) Higher Education: Handbook of Theory and Research, 27. New York: Springer.</w:t>
      </w:r>
    </w:p>
    <w:p w14:paraId="17034038" w14:textId="622A8503" w:rsidR="0081608E" w:rsidRPr="0081608E" w:rsidRDefault="0081608E" w:rsidP="0081608E">
      <w:pPr>
        <w:spacing w:after="100"/>
        <w:ind w:left="720" w:hanging="720"/>
        <w:jc w:val="both"/>
        <w:rPr>
          <w:rFonts w:ascii="Times New Roman" w:eastAsia="Times New Roman" w:hAnsi="Times New Roman" w:cs="Times New Roman"/>
          <w:sz w:val="24"/>
          <w:szCs w:val="24"/>
        </w:rPr>
      </w:pPr>
      <w:r w:rsidRPr="0081608E">
        <w:rPr>
          <w:rFonts w:ascii="Times New Roman" w:eastAsia="Times New Roman" w:hAnsi="Times New Roman" w:cs="Times New Roman"/>
          <w:sz w:val="24"/>
          <w:szCs w:val="24"/>
        </w:rPr>
        <w:t>Hurtado, S., &amp; Ruiz, A. (2012). The climate for underrepresented groups and diversity on campus. Los Angeles, CA: Higher Education Research Institute.</w:t>
      </w:r>
    </w:p>
    <w:p w14:paraId="2D4CF5C7" w14:textId="7777777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Jääskelä</w:t>
      </w:r>
      <w:proofErr w:type="spellEnd"/>
      <w:r>
        <w:rPr>
          <w:rFonts w:ascii="Times New Roman" w:eastAsia="Times New Roman" w:hAnsi="Times New Roman" w:cs="Times New Roman"/>
          <w:sz w:val="24"/>
          <w:szCs w:val="24"/>
        </w:rPr>
        <w:t xml:space="preserve">, P., A. M. </w:t>
      </w:r>
      <w:proofErr w:type="spellStart"/>
      <w:r>
        <w:rPr>
          <w:rFonts w:ascii="Times New Roman" w:eastAsia="Times New Roman" w:hAnsi="Times New Roman" w:cs="Times New Roman"/>
          <w:sz w:val="24"/>
          <w:szCs w:val="24"/>
        </w:rPr>
        <w:t>Poikkeus</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Vasalampi</w:t>
      </w:r>
      <w:proofErr w:type="spellEnd"/>
      <w:r>
        <w:rPr>
          <w:rFonts w:ascii="Times New Roman" w:eastAsia="Times New Roman" w:hAnsi="Times New Roman" w:cs="Times New Roman"/>
          <w:sz w:val="24"/>
          <w:szCs w:val="24"/>
        </w:rPr>
        <w:t xml:space="preserve">, U. M. </w:t>
      </w:r>
      <w:proofErr w:type="spellStart"/>
      <w:r>
        <w:rPr>
          <w:rFonts w:ascii="Times New Roman" w:eastAsia="Times New Roman" w:hAnsi="Times New Roman" w:cs="Times New Roman"/>
          <w:sz w:val="24"/>
          <w:szCs w:val="24"/>
        </w:rPr>
        <w:t>Valleala</w:t>
      </w:r>
      <w:proofErr w:type="spellEnd"/>
      <w:r>
        <w:rPr>
          <w:rFonts w:ascii="Times New Roman" w:eastAsia="Times New Roman" w:hAnsi="Times New Roman" w:cs="Times New Roman"/>
          <w:sz w:val="24"/>
          <w:szCs w:val="24"/>
        </w:rPr>
        <w:t xml:space="preserve">, and H. </w:t>
      </w:r>
      <w:proofErr w:type="spellStart"/>
      <w:r>
        <w:rPr>
          <w:rFonts w:ascii="Times New Roman" w:eastAsia="Times New Roman" w:hAnsi="Times New Roman" w:cs="Times New Roman"/>
          <w:sz w:val="24"/>
          <w:szCs w:val="24"/>
        </w:rPr>
        <w:t>Rasku-Puttonen</w:t>
      </w:r>
      <w:proofErr w:type="spellEnd"/>
      <w:r>
        <w:rPr>
          <w:rFonts w:ascii="Times New Roman" w:eastAsia="Times New Roman" w:hAnsi="Times New Roman" w:cs="Times New Roman"/>
          <w:sz w:val="24"/>
          <w:szCs w:val="24"/>
        </w:rPr>
        <w:t xml:space="preserve"> (2016). Assessing Agency of University Students: Validation of the AUS Scale. </w:t>
      </w:r>
      <w:r>
        <w:rPr>
          <w:rFonts w:ascii="Times New Roman" w:eastAsia="Times New Roman" w:hAnsi="Times New Roman" w:cs="Times New Roman"/>
          <w:i/>
          <w:sz w:val="24"/>
          <w:szCs w:val="24"/>
        </w:rPr>
        <w:t>Studies in Higher Education</w:t>
      </w:r>
      <w:r>
        <w:rPr>
          <w:rFonts w:ascii="Times New Roman" w:eastAsia="Times New Roman" w:hAnsi="Times New Roman" w:cs="Times New Roman"/>
          <w:sz w:val="24"/>
          <w:szCs w:val="24"/>
        </w:rPr>
        <w:t xml:space="preserve">: 1-19. Advance online publications. https://doi.org/10.1080/03075079.2015.1130693   </w:t>
      </w:r>
    </w:p>
    <w:p w14:paraId="7C7DA590" w14:textId="7777777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Jääskelä</w:t>
      </w:r>
      <w:proofErr w:type="spellEnd"/>
      <w:r>
        <w:rPr>
          <w:rFonts w:ascii="Times New Roman" w:eastAsia="Times New Roman" w:hAnsi="Times New Roman" w:cs="Times New Roman"/>
          <w:sz w:val="24"/>
          <w:szCs w:val="24"/>
        </w:rPr>
        <w:t xml:space="preserve">, P., A.-M. </w:t>
      </w:r>
      <w:proofErr w:type="spellStart"/>
      <w:r>
        <w:rPr>
          <w:rFonts w:ascii="Times New Roman" w:eastAsia="Times New Roman" w:hAnsi="Times New Roman" w:cs="Times New Roman"/>
          <w:sz w:val="24"/>
          <w:szCs w:val="24"/>
        </w:rPr>
        <w:t>Poikkeus</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Häkkinen</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Vasalampi</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Rasku-Puttonen</w:t>
      </w:r>
      <w:proofErr w:type="spellEnd"/>
      <w:r>
        <w:rPr>
          <w:rFonts w:ascii="Times New Roman" w:eastAsia="Times New Roman" w:hAnsi="Times New Roman" w:cs="Times New Roman"/>
          <w:sz w:val="24"/>
          <w:szCs w:val="24"/>
        </w:rPr>
        <w:t xml:space="preserve">, and A. </w:t>
      </w:r>
      <w:proofErr w:type="spellStart"/>
      <w:r>
        <w:rPr>
          <w:rFonts w:ascii="Times New Roman" w:eastAsia="Times New Roman" w:hAnsi="Times New Roman" w:cs="Times New Roman"/>
          <w:sz w:val="24"/>
          <w:szCs w:val="24"/>
        </w:rPr>
        <w:t>Tolvanen</w:t>
      </w:r>
      <w:proofErr w:type="spellEnd"/>
      <w:r>
        <w:rPr>
          <w:rFonts w:ascii="Times New Roman" w:eastAsia="Times New Roman" w:hAnsi="Times New Roman" w:cs="Times New Roman"/>
          <w:sz w:val="24"/>
          <w:szCs w:val="24"/>
        </w:rPr>
        <w:t xml:space="preserve"> (2020a). Students' Agency Profiles in Relation to Student-Perceived Teaching Practices in University Courses. </w:t>
      </w:r>
      <w:r>
        <w:rPr>
          <w:rFonts w:ascii="Times New Roman" w:eastAsia="Times New Roman" w:hAnsi="Times New Roman" w:cs="Times New Roman"/>
          <w:i/>
          <w:sz w:val="24"/>
          <w:szCs w:val="24"/>
        </w:rPr>
        <w:t>International Journal of Educational Research</w:t>
      </w:r>
      <w:r>
        <w:rPr>
          <w:rFonts w:ascii="Times New Roman" w:eastAsia="Times New Roman" w:hAnsi="Times New Roman" w:cs="Times New Roman"/>
          <w:sz w:val="24"/>
          <w:szCs w:val="24"/>
        </w:rPr>
        <w:t xml:space="preserve"> 103: 101604. https://doi.org/10.1016/j.ijer.2020.101604 </w:t>
      </w:r>
    </w:p>
    <w:p w14:paraId="63302121" w14:textId="77777777" w:rsidR="002A5BB1" w:rsidRDefault="00BF3419" w:rsidP="002A5BB1">
      <w:pPr>
        <w:spacing w:after="100"/>
        <w:ind w:left="720" w:hanging="720"/>
        <w:jc w:val="both"/>
        <w:rPr>
          <w:rFonts w:ascii="Times New Roman" w:eastAsia="Times New Roman" w:hAnsi="Times New Roman" w:cs="Times New Roman"/>
          <w:sz w:val="24"/>
          <w:szCs w:val="24"/>
        </w:rPr>
      </w:pPr>
      <w:proofErr w:type="spellStart"/>
      <w:r w:rsidRPr="00507EAC">
        <w:rPr>
          <w:rFonts w:ascii="Times New Roman" w:eastAsia="Times New Roman" w:hAnsi="Times New Roman" w:cs="Times New Roman"/>
          <w:sz w:val="24"/>
          <w:szCs w:val="24"/>
          <w:lang w:val="de-DE"/>
        </w:rPr>
        <w:t>Jääskelä</w:t>
      </w:r>
      <w:proofErr w:type="spellEnd"/>
      <w:r w:rsidRPr="00507EAC">
        <w:rPr>
          <w:rFonts w:ascii="Times New Roman" w:eastAsia="Times New Roman" w:hAnsi="Times New Roman" w:cs="Times New Roman"/>
          <w:sz w:val="24"/>
          <w:szCs w:val="24"/>
          <w:lang w:val="de-DE"/>
        </w:rPr>
        <w:t xml:space="preserve">, P., V. </w:t>
      </w:r>
      <w:proofErr w:type="spellStart"/>
      <w:r w:rsidRPr="00507EAC">
        <w:rPr>
          <w:rFonts w:ascii="Times New Roman" w:eastAsia="Times New Roman" w:hAnsi="Times New Roman" w:cs="Times New Roman"/>
          <w:sz w:val="24"/>
          <w:szCs w:val="24"/>
          <w:lang w:val="de-DE"/>
        </w:rPr>
        <w:t>Heilala</w:t>
      </w:r>
      <w:proofErr w:type="spellEnd"/>
      <w:r w:rsidRPr="00507EAC">
        <w:rPr>
          <w:rFonts w:ascii="Times New Roman" w:eastAsia="Times New Roman" w:hAnsi="Times New Roman" w:cs="Times New Roman"/>
          <w:sz w:val="24"/>
          <w:szCs w:val="24"/>
          <w:lang w:val="de-DE"/>
        </w:rPr>
        <w:t xml:space="preserve">, T. </w:t>
      </w:r>
      <w:proofErr w:type="spellStart"/>
      <w:r w:rsidRPr="00507EAC">
        <w:rPr>
          <w:rFonts w:ascii="Times New Roman" w:eastAsia="Times New Roman" w:hAnsi="Times New Roman" w:cs="Times New Roman"/>
          <w:sz w:val="24"/>
          <w:szCs w:val="24"/>
          <w:lang w:val="de-DE"/>
        </w:rPr>
        <w:t>Kärkkäinen</w:t>
      </w:r>
      <w:proofErr w:type="spellEnd"/>
      <w:r w:rsidRPr="00507EAC">
        <w:rPr>
          <w:rFonts w:ascii="Times New Roman" w:eastAsia="Times New Roman" w:hAnsi="Times New Roman" w:cs="Times New Roman"/>
          <w:sz w:val="24"/>
          <w:szCs w:val="24"/>
          <w:lang w:val="de-DE"/>
        </w:rPr>
        <w:t xml:space="preserve">, </w:t>
      </w:r>
      <w:proofErr w:type="spellStart"/>
      <w:r w:rsidRPr="00507EAC">
        <w:rPr>
          <w:rFonts w:ascii="Times New Roman" w:eastAsia="Times New Roman" w:hAnsi="Times New Roman" w:cs="Times New Roman"/>
          <w:sz w:val="24"/>
          <w:szCs w:val="24"/>
          <w:lang w:val="de-DE"/>
        </w:rPr>
        <w:t>and</w:t>
      </w:r>
      <w:proofErr w:type="spellEnd"/>
      <w:r w:rsidRPr="00507EAC">
        <w:rPr>
          <w:rFonts w:ascii="Times New Roman" w:eastAsia="Times New Roman" w:hAnsi="Times New Roman" w:cs="Times New Roman"/>
          <w:sz w:val="24"/>
          <w:szCs w:val="24"/>
          <w:lang w:val="de-DE"/>
        </w:rPr>
        <w:t xml:space="preserve"> P. Häkkinen (2020b). </w:t>
      </w:r>
      <w:r>
        <w:rPr>
          <w:rFonts w:ascii="Times New Roman" w:eastAsia="Times New Roman" w:hAnsi="Times New Roman" w:cs="Times New Roman"/>
          <w:sz w:val="24"/>
          <w:szCs w:val="24"/>
        </w:rPr>
        <w:t xml:space="preserve">Student Agency Analytics: Learning Analytics as a Tool for </w:t>
      </w:r>
      <w:proofErr w:type="spellStart"/>
      <w:r>
        <w:rPr>
          <w:rFonts w:ascii="Times New Roman" w:eastAsia="Times New Roman" w:hAnsi="Times New Roman" w:cs="Times New Roman"/>
          <w:sz w:val="24"/>
          <w:szCs w:val="24"/>
        </w:rPr>
        <w:t>Analysing</w:t>
      </w:r>
      <w:proofErr w:type="spellEnd"/>
      <w:r>
        <w:rPr>
          <w:rFonts w:ascii="Times New Roman" w:eastAsia="Times New Roman" w:hAnsi="Times New Roman" w:cs="Times New Roman"/>
          <w:sz w:val="24"/>
          <w:szCs w:val="24"/>
        </w:rPr>
        <w:t xml:space="preserve"> Student Agency in Higher Education. </w:t>
      </w:r>
      <w:proofErr w:type="spellStart"/>
      <w:r>
        <w:rPr>
          <w:rFonts w:ascii="Times New Roman" w:eastAsia="Times New Roman" w:hAnsi="Times New Roman" w:cs="Times New Roman"/>
          <w:i/>
          <w:sz w:val="24"/>
          <w:szCs w:val="24"/>
        </w:rPr>
        <w:t>Behaviour</w:t>
      </w:r>
      <w:proofErr w:type="spellEnd"/>
      <w:r>
        <w:rPr>
          <w:rFonts w:ascii="Times New Roman" w:eastAsia="Times New Roman" w:hAnsi="Times New Roman" w:cs="Times New Roman"/>
          <w:i/>
          <w:sz w:val="24"/>
          <w:szCs w:val="24"/>
        </w:rPr>
        <w:t xml:space="preserve"> &amp; Information Technology</w:t>
      </w:r>
      <w:r>
        <w:rPr>
          <w:rFonts w:ascii="Times New Roman" w:eastAsia="Times New Roman" w:hAnsi="Times New Roman" w:cs="Times New Roman"/>
          <w:sz w:val="24"/>
          <w:szCs w:val="24"/>
        </w:rPr>
        <w:t xml:space="preserve">, 40 (8): 790-808. https://doi.org/10.1080/0144929X.2020.1725130 </w:t>
      </w:r>
    </w:p>
    <w:p w14:paraId="4AF79904" w14:textId="4873DC75" w:rsidR="002A5BB1" w:rsidRDefault="002A5BB1" w:rsidP="002A5BB1">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Kahn, Peter E. (2017) The flourishing and dehumanization of students in higher education, </w:t>
      </w:r>
      <w:r>
        <w:rPr>
          <w:rFonts w:ascii="Times New Roman" w:eastAsia="Times New Roman" w:hAnsi="Times New Roman" w:cs="Times New Roman"/>
          <w:i/>
          <w:sz w:val="24"/>
          <w:szCs w:val="24"/>
        </w:rPr>
        <w:t>Journal of Critical Realism</w:t>
      </w:r>
      <w:r>
        <w:rPr>
          <w:rFonts w:ascii="Times New Roman" w:eastAsia="Times New Roman" w:hAnsi="Times New Roman" w:cs="Times New Roman"/>
          <w:sz w:val="24"/>
          <w:szCs w:val="24"/>
        </w:rPr>
        <w:t>, 16:4, 368-382, DOI: 10.1080/14767430.2017.1347444</w:t>
      </w:r>
    </w:p>
    <w:p w14:paraId="53BA1142" w14:textId="163C018F" w:rsidR="00DF5D72" w:rsidRDefault="00DF5D72" w:rsidP="0036425F">
      <w:pPr>
        <w:spacing w:after="100"/>
        <w:ind w:left="720" w:hanging="720"/>
        <w:jc w:val="both"/>
        <w:rPr>
          <w:rFonts w:ascii="Times New Roman" w:eastAsia="Times New Roman" w:hAnsi="Times New Roman" w:cs="Times New Roman"/>
          <w:sz w:val="24"/>
          <w:szCs w:val="24"/>
        </w:rPr>
      </w:pPr>
      <w:r w:rsidRPr="00DF5D72">
        <w:rPr>
          <w:rFonts w:ascii="Times New Roman" w:eastAsia="Times New Roman" w:hAnsi="Times New Roman" w:cs="Times New Roman"/>
          <w:sz w:val="24"/>
          <w:szCs w:val="24"/>
        </w:rPr>
        <w:t xml:space="preserve">Ella R. </w:t>
      </w:r>
      <w:proofErr w:type="spellStart"/>
      <w:r w:rsidRPr="00DF5D72">
        <w:rPr>
          <w:rFonts w:ascii="Times New Roman" w:eastAsia="Times New Roman" w:hAnsi="Times New Roman" w:cs="Times New Roman"/>
          <w:sz w:val="24"/>
          <w:szCs w:val="24"/>
        </w:rPr>
        <w:t>Kahu</w:t>
      </w:r>
      <w:proofErr w:type="spellEnd"/>
      <w:r w:rsidRPr="00DF5D72">
        <w:rPr>
          <w:rFonts w:ascii="Times New Roman" w:eastAsia="Times New Roman" w:hAnsi="Times New Roman" w:cs="Times New Roman"/>
          <w:sz w:val="24"/>
          <w:szCs w:val="24"/>
        </w:rPr>
        <w:t xml:space="preserve"> (2013)</w:t>
      </w:r>
      <w:r>
        <w:rPr>
          <w:rFonts w:ascii="Times New Roman" w:eastAsia="Times New Roman" w:hAnsi="Times New Roman" w:cs="Times New Roman"/>
          <w:sz w:val="24"/>
          <w:szCs w:val="24"/>
        </w:rPr>
        <w:t>.</w:t>
      </w:r>
      <w:r w:rsidRPr="00DF5D72">
        <w:rPr>
          <w:rFonts w:ascii="Times New Roman" w:eastAsia="Times New Roman" w:hAnsi="Times New Roman" w:cs="Times New Roman"/>
          <w:sz w:val="24"/>
          <w:szCs w:val="24"/>
        </w:rPr>
        <w:t xml:space="preserve"> Framing student engagement in higher education</w:t>
      </w:r>
      <w:r>
        <w:rPr>
          <w:rFonts w:ascii="Times New Roman" w:eastAsia="Times New Roman" w:hAnsi="Times New Roman" w:cs="Times New Roman"/>
          <w:sz w:val="24"/>
          <w:szCs w:val="24"/>
        </w:rPr>
        <w:t>.</w:t>
      </w:r>
      <w:r w:rsidRPr="00DF5D72">
        <w:rPr>
          <w:rFonts w:ascii="Times New Roman" w:eastAsia="Times New Roman" w:hAnsi="Times New Roman" w:cs="Times New Roman"/>
          <w:sz w:val="24"/>
          <w:szCs w:val="24"/>
        </w:rPr>
        <w:t xml:space="preserve"> </w:t>
      </w:r>
      <w:r w:rsidRPr="00DF5D72">
        <w:rPr>
          <w:rFonts w:ascii="Times New Roman" w:eastAsia="Times New Roman" w:hAnsi="Times New Roman" w:cs="Times New Roman"/>
          <w:i/>
          <w:iCs/>
          <w:sz w:val="24"/>
          <w:szCs w:val="24"/>
        </w:rPr>
        <w:t>Studies in Higher Education</w:t>
      </w:r>
      <w:r w:rsidRPr="00DF5D72">
        <w:rPr>
          <w:rFonts w:ascii="Times New Roman" w:eastAsia="Times New Roman" w:hAnsi="Times New Roman" w:cs="Times New Roman"/>
          <w:sz w:val="24"/>
          <w:szCs w:val="24"/>
        </w:rPr>
        <w:t>, 38:5, 758-773, DOI: 10.1080/03075079.2011.598505</w:t>
      </w:r>
    </w:p>
    <w:p w14:paraId="19308A07" w14:textId="60450ABE" w:rsidR="00170769" w:rsidRDefault="00BF3419" w:rsidP="0036425F">
      <w:pPr>
        <w:spacing w:after="100"/>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Klemenčič, M. (forthcoming). A Theory of Student Impact on Higher Education. In J. Conner (ed.) </w:t>
      </w:r>
      <w:r>
        <w:rPr>
          <w:rFonts w:ascii="Times New Roman" w:eastAsia="Times New Roman" w:hAnsi="Times New Roman" w:cs="Times New Roman"/>
          <w:i/>
          <w:sz w:val="24"/>
          <w:szCs w:val="24"/>
        </w:rPr>
        <w:t>The Bloomsbury International Handbook of Student Voice in Higher Education.</w:t>
      </w:r>
    </w:p>
    <w:p w14:paraId="762BE889" w14:textId="77777777" w:rsidR="00170769" w:rsidRDefault="00BF3419" w:rsidP="0036425F">
      <w:pPr>
        <w:spacing w:after="100"/>
        <w:ind w:left="720" w:hanging="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Klemenčič, M. (2020). Students as Actors and Agents in Student-Centered Higher Education. In Sabine </w:t>
      </w:r>
      <w:proofErr w:type="spellStart"/>
      <w:r>
        <w:rPr>
          <w:rFonts w:ascii="Times New Roman" w:eastAsia="Times New Roman" w:hAnsi="Times New Roman" w:cs="Times New Roman"/>
          <w:sz w:val="24"/>
          <w:szCs w:val="24"/>
        </w:rPr>
        <w:t>Hoidn</w:t>
      </w:r>
      <w:proofErr w:type="spellEnd"/>
      <w:r>
        <w:rPr>
          <w:rFonts w:ascii="Times New Roman" w:eastAsia="Times New Roman" w:hAnsi="Times New Roman" w:cs="Times New Roman"/>
          <w:sz w:val="24"/>
          <w:szCs w:val="24"/>
        </w:rPr>
        <w:t xml:space="preserve"> and Manja Klemenčič (eds.) </w:t>
      </w:r>
      <w:r>
        <w:rPr>
          <w:rFonts w:ascii="Times New Roman" w:eastAsia="Times New Roman" w:hAnsi="Times New Roman" w:cs="Times New Roman"/>
          <w:i/>
          <w:sz w:val="24"/>
          <w:szCs w:val="24"/>
        </w:rPr>
        <w:t xml:space="preserve">Routledge International Handbook on Student-Centered Learning and Teaching in Higher Education </w:t>
      </w:r>
      <w:r>
        <w:rPr>
          <w:rFonts w:ascii="Times New Roman" w:eastAsia="Times New Roman" w:hAnsi="Times New Roman" w:cs="Times New Roman"/>
          <w:sz w:val="24"/>
          <w:szCs w:val="24"/>
        </w:rPr>
        <w:t>(Routledge)</w:t>
      </w:r>
      <w:hyperlink r:id="rId16">
        <w:r>
          <w:rPr>
            <w:rFonts w:ascii="Times New Roman" w:eastAsia="Times New Roman" w:hAnsi="Times New Roman" w:cs="Times New Roman"/>
            <w:sz w:val="24"/>
            <w:szCs w:val="24"/>
          </w:rPr>
          <w:t xml:space="preserve"> </w:t>
        </w:r>
      </w:hyperlink>
      <w:hyperlink r:id="rId17">
        <w:r>
          <w:rPr>
            <w:rFonts w:ascii="Times New Roman" w:eastAsia="Times New Roman" w:hAnsi="Times New Roman" w:cs="Times New Roman"/>
            <w:sz w:val="24"/>
            <w:szCs w:val="24"/>
            <w:u w:val="single"/>
          </w:rPr>
          <w:t>https://doi.org/10.4324/9780429259371-7</w:t>
        </w:r>
      </w:hyperlink>
    </w:p>
    <w:p w14:paraId="0D84C03E"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Klemenčič, M. (2018). The student voice in quality assessment and improvement. In Ellen </w:t>
      </w:r>
      <w:proofErr w:type="spellStart"/>
      <w:r>
        <w:rPr>
          <w:rFonts w:ascii="Times New Roman" w:eastAsia="Times New Roman" w:hAnsi="Times New Roman" w:cs="Times New Roman"/>
          <w:sz w:val="24"/>
          <w:szCs w:val="24"/>
        </w:rPr>
        <w:t>Hazelkorn</w:t>
      </w:r>
      <w:proofErr w:type="spellEnd"/>
      <w:r>
        <w:rPr>
          <w:rFonts w:ascii="Times New Roman" w:eastAsia="Times New Roman" w:hAnsi="Times New Roman" w:cs="Times New Roman"/>
          <w:sz w:val="24"/>
          <w:szCs w:val="24"/>
        </w:rPr>
        <w:t xml:space="preserve">, Hamish Coates and Alex McCormick (eds.) </w:t>
      </w:r>
      <w:r>
        <w:rPr>
          <w:rFonts w:ascii="Times New Roman" w:eastAsia="Times New Roman" w:hAnsi="Times New Roman" w:cs="Times New Roman"/>
          <w:i/>
          <w:sz w:val="24"/>
          <w:szCs w:val="24"/>
        </w:rPr>
        <w:t>Research Handbook on Quality, Performance and Accountability in Higher Education</w:t>
      </w:r>
      <w:r>
        <w:rPr>
          <w:rFonts w:ascii="Times New Roman" w:eastAsia="Times New Roman" w:hAnsi="Times New Roman" w:cs="Times New Roman"/>
          <w:sz w:val="24"/>
          <w:szCs w:val="24"/>
        </w:rPr>
        <w:t>, pp. 332-343 (Edward Elgar Publishing)</w:t>
      </w:r>
    </w:p>
    <w:p w14:paraId="12ADAF36"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Klemenčič, M. (2017). From student engagement to student agency: conceptual considerations of European policies on student-centered learning in higher education. </w:t>
      </w:r>
      <w:r>
        <w:rPr>
          <w:rFonts w:ascii="Times New Roman" w:eastAsia="Times New Roman" w:hAnsi="Times New Roman" w:cs="Times New Roman"/>
          <w:i/>
          <w:sz w:val="24"/>
          <w:szCs w:val="24"/>
        </w:rPr>
        <w:t>Higher Education Policy</w:t>
      </w:r>
      <w:r>
        <w:rPr>
          <w:rFonts w:ascii="Times New Roman" w:eastAsia="Times New Roman" w:hAnsi="Times New Roman" w:cs="Times New Roman"/>
          <w:sz w:val="24"/>
          <w:szCs w:val="24"/>
        </w:rPr>
        <w:t xml:space="preserve"> 30 (1): 69-85 https://doi.org/10.1057/s41307-016-0034-4 </w:t>
      </w:r>
    </w:p>
    <w:p w14:paraId="006AECB3" w14:textId="77777777" w:rsidR="00170769" w:rsidRDefault="00BF3419" w:rsidP="0036425F">
      <w:pPr>
        <w:spacing w:after="100"/>
        <w:ind w:left="36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Klemenčič, M. (2015a). What is student agency? An ontological exploration in the context of research on student engagement. In Klemenčič, M., Bergan, S., </w:t>
      </w:r>
      <w:proofErr w:type="spellStart"/>
      <w:r>
        <w:rPr>
          <w:rFonts w:ascii="Times New Roman" w:eastAsia="Times New Roman" w:hAnsi="Times New Roman" w:cs="Times New Roman"/>
          <w:sz w:val="24"/>
          <w:szCs w:val="24"/>
        </w:rPr>
        <w:t>Primožič</w:t>
      </w:r>
      <w:proofErr w:type="spellEnd"/>
      <w:r>
        <w:rPr>
          <w:rFonts w:ascii="Times New Roman" w:eastAsia="Times New Roman" w:hAnsi="Times New Roman" w:cs="Times New Roman"/>
          <w:sz w:val="24"/>
          <w:szCs w:val="24"/>
        </w:rPr>
        <w:t xml:space="preserve">, R. (eds.) </w:t>
      </w:r>
      <w:r>
        <w:rPr>
          <w:rFonts w:ascii="Times New Roman" w:eastAsia="Times New Roman" w:hAnsi="Times New Roman" w:cs="Times New Roman"/>
          <w:i/>
          <w:sz w:val="24"/>
          <w:szCs w:val="24"/>
        </w:rPr>
        <w:t>Student engagement in Europe: society, higher education, and student governance.</w:t>
      </w:r>
      <w:r>
        <w:rPr>
          <w:rFonts w:ascii="Times New Roman" w:eastAsia="Times New Roman" w:hAnsi="Times New Roman" w:cs="Times New Roman"/>
          <w:sz w:val="24"/>
          <w:szCs w:val="24"/>
        </w:rPr>
        <w:t xml:space="preserve"> Council of Europe Higher Education Series No. 20 (pp. 11-29. Strasbourg: Council of Europe Publishing </w:t>
      </w:r>
      <w:r>
        <w:rPr>
          <w:rFonts w:ascii="Times New Roman" w:eastAsia="Times New Roman" w:hAnsi="Times New Roman" w:cs="Times New Roman"/>
          <w:sz w:val="24"/>
          <w:szCs w:val="24"/>
        </w:rPr>
        <w:lastRenderedPageBreak/>
        <w:t xml:space="preserve">https://book.coe.int/en/higher-education-and-research/6479-student-engagement-in-europe-society-higher-education-and-student-governance-council-of-europe-higher-education-series-no-20.html </w:t>
      </w:r>
    </w:p>
    <w:p w14:paraId="21074F8B" w14:textId="77777777" w:rsidR="00170769" w:rsidRDefault="00BF3419" w:rsidP="0036425F">
      <w:pPr>
        <w:spacing w:after="100"/>
        <w:ind w:left="360" w:hanging="54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Klemenčič, M. (2015b). Student involvement in quality enhancement. In Jeroen Huisman, Harry de Boer, David Dill and Manuel </w:t>
      </w:r>
      <w:proofErr w:type="spellStart"/>
      <w:r>
        <w:rPr>
          <w:rFonts w:ascii="Times New Roman" w:eastAsia="Times New Roman" w:hAnsi="Times New Roman" w:cs="Times New Roman"/>
          <w:sz w:val="24"/>
          <w:szCs w:val="24"/>
        </w:rPr>
        <w:t>Souto</w:t>
      </w:r>
      <w:proofErr w:type="spellEnd"/>
      <w:r>
        <w:rPr>
          <w:rFonts w:ascii="Times New Roman" w:eastAsia="Times New Roman" w:hAnsi="Times New Roman" w:cs="Times New Roman"/>
          <w:sz w:val="24"/>
          <w:szCs w:val="24"/>
        </w:rPr>
        <w:t xml:space="preserve">-Otero (eds.) </w:t>
      </w:r>
      <w:r>
        <w:rPr>
          <w:rFonts w:ascii="Times New Roman" w:eastAsia="Times New Roman" w:hAnsi="Times New Roman" w:cs="Times New Roman"/>
          <w:i/>
          <w:sz w:val="24"/>
          <w:szCs w:val="24"/>
        </w:rPr>
        <w:t>The Handbook of Higher Education Policy and Governance</w:t>
      </w:r>
      <w:r>
        <w:rPr>
          <w:rFonts w:ascii="Times New Roman" w:eastAsia="Times New Roman" w:hAnsi="Times New Roman" w:cs="Times New Roman"/>
          <w:sz w:val="24"/>
          <w:szCs w:val="24"/>
        </w:rPr>
        <w:t>, pp. 526-543 (Palgrave Macmillan)</w:t>
      </w:r>
      <w:hyperlink r:id="rId18">
        <w:r>
          <w:rPr>
            <w:rFonts w:ascii="Times New Roman" w:eastAsia="Times New Roman" w:hAnsi="Times New Roman" w:cs="Times New Roman"/>
            <w:sz w:val="24"/>
            <w:szCs w:val="24"/>
          </w:rPr>
          <w:t xml:space="preserve"> </w:t>
        </w:r>
      </w:hyperlink>
      <w:hyperlink r:id="rId19">
        <w:r>
          <w:rPr>
            <w:rFonts w:ascii="Times New Roman" w:eastAsia="Times New Roman" w:hAnsi="Times New Roman" w:cs="Times New Roman"/>
            <w:sz w:val="24"/>
            <w:szCs w:val="24"/>
            <w:u w:val="single"/>
          </w:rPr>
          <w:t>https://doi.org/10.1007/978-1-137-45617-5_28</w:t>
        </w:r>
      </w:hyperlink>
    </w:p>
    <w:p w14:paraId="4E4E9B58" w14:textId="77777777" w:rsidR="00595F29" w:rsidRDefault="00BF3419" w:rsidP="00595F29">
      <w:pPr>
        <w:spacing w:after="100"/>
        <w:ind w:left="36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Knowles, M. S. (1975). </w:t>
      </w:r>
      <w:r>
        <w:rPr>
          <w:rFonts w:ascii="Times New Roman" w:eastAsia="Times New Roman" w:hAnsi="Times New Roman" w:cs="Times New Roman"/>
          <w:i/>
          <w:sz w:val="24"/>
          <w:szCs w:val="24"/>
        </w:rPr>
        <w:t>Self-Directed Learning: A Guide for Learners and Teachers</w:t>
      </w:r>
      <w:r>
        <w:rPr>
          <w:rFonts w:ascii="Times New Roman" w:eastAsia="Times New Roman" w:hAnsi="Times New Roman" w:cs="Times New Roman"/>
          <w:sz w:val="24"/>
          <w:szCs w:val="24"/>
        </w:rPr>
        <w:t>. Cambridge: Englewood Cliffs.</w:t>
      </w:r>
    </w:p>
    <w:p w14:paraId="167733AA" w14:textId="77777777" w:rsidR="008264E0" w:rsidRDefault="00BF3419" w:rsidP="008264E0">
      <w:pPr>
        <w:spacing w:after="100"/>
        <w:ind w:left="36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Kuh</w:t>
      </w:r>
      <w:proofErr w:type="spellEnd"/>
      <w:r>
        <w:rPr>
          <w:rFonts w:ascii="Times New Roman" w:eastAsia="Times New Roman" w:hAnsi="Times New Roman" w:cs="Times New Roman"/>
          <w:sz w:val="24"/>
          <w:szCs w:val="24"/>
        </w:rPr>
        <w:t xml:space="preserve">, G. (2009). The National Survey of Student Engagement: Conceptual and empirical foundations, </w:t>
      </w:r>
      <w:r>
        <w:rPr>
          <w:rFonts w:ascii="Times New Roman" w:eastAsia="Times New Roman" w:hAnsi="Times New Roman" w:cs="Times New Roman"/>
          <w:i/>
          <w:sz w:val="24"/>
          <w:szCs w:val="24"/>
        </w:rPr>
        <w:t>New Directions for Institutional Research</w:t>
      </w:r>
      <w:r>
        <w:rPr>
          <w:rFonts w:ascii="Times New Roman" w:eastAsia="Times New Roman" w:hAnsi="Times New Roman" w:cs="Times New Roman"/>
          <w:sz w:val="24"/>
          <w:szCs w:val="24"/>
        </w:rPr>
        <w:t>, 141(Spring), 5–20.</w:t>
      </w:r>
    </w:p>
    <w:p w14:paraId="4C2E6166" w14:textId="2D61A803" w:rsidR="00170769" w:rsidRDefault="00BF3419" w:rsidP="008264E0">
      <w:pPr>
        <w:spacing w:after="100"/>
        <w:ind w:left="36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S. (2021). Researching higher education as students’ academic self-formation. Centre for Global Higher Education (CHGE) Working paper 76. https://www.researchcghe.org/publications/working-paper/researching-higher-education-as-students-academic-self-formation/ </w:t>
      </w:r>
    </w:p>
    <w:p w14:paraId="2A5B6358" w14:textId="7777777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Leondari</w:t>
      </w:r>
      <w:proofErr w:type="spellEnd"/>
      <w:r>
        <w:rPr>
          <w:rFonts w:ascii="Times New Roman" w:eastAsia="Times New Roman" w:hAnsi="Times New Roman" w:cs="Times New Roman"/>
          <w:sz w:val="24"/>
          <w:szCs w:val="24"/>
        </w:rPr>
        <w:t xml:space="preserve">, A. (2007). Future time perspective, possible selves, and academic achievement. </w:t>
      </w:r>
      <w:r>
        <w:rPr>
          <w:rFonts w:ascii="Times New Roman" w:eastAsia="Times New Roman" w:hAnsi="Times New Roman" w:cs="Times New Roman"/>
          <w:i/>
          <w:sz w:val="24"/>
          <w:szCs w:val="24"/>
        </w:rPr>
        <w:t>New Directions for Adult and Continuing Education</w:t>
      </w:r>
      <w:r>
        <w:rPr>
          <w:rFonts w:ascii="Times New Roman" w:eastAsia="Times New Roman" w:hAnsi="Times New Roman" w:cs="Times New Roman"/>
          <w:sz w:val="24"/>
          <w:szCs w:val="24"/>
        </w:rPr>
        <w:t>, 114, 17–26.</w:t>
      </w:r>
    </w:p>
    <w:p w14:paraId="62E0EFA5"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Levesque, Chantal &amp; </w:t>
      </w:r>
      <w:proofErr w:type="spellStart"/>
      <w:r>
        <w:rPr>
          <w:rFonts w:ascii="Times New Roman" w:eastAsia="Times New Roman" w:hAnsi="Times New Roman" w:cs="Times New Roman"/>
          <w:sz w:val="24"/>
          <w:szCs w:val="24"/>
        </w:rPr>
        <w:t>Zuehlke</w:t>
      </w:r>
      <w:proofErr w:type="spellEnd"/>
      <w:r>
        <w:rPr>
          <w:rFonts w:ascii="Times New Roman" w:eastAsia="Times New Roman" w:hAnsi="Times New Roman" w:cs="Times New Roman"/>
          <w:sz w:val="24"/>
          <w:szCs w:val="24"/>
        </w:rPr>
        <w:t xml:space="preserve">, A. &amp; Stanek, Layla &amp; Ryan, Richard. (2004). Autonomy and Competence in German and American University Students: A Comparative Study Based on Self-Determination Theory. </w:t>
      </w:r>
      <w:r>
        <w:rPr>
          <w:rFonts w:ascii="Times New Roman" w:eastAsia="Times New Roman" w:hAnsi="Times New Roman" w:cs="Times New Roman"/>
          <w:i/>
          <w:sz w:val="24"/>
          <w:szCs w:val="24"/>
        </w:rPr>
        <w:t>Journal of Educational Psychology</w:t>
      </w:r>
      <w:r>
        <w:rPr>
          <w:rFonts w:ascii="Times New Roman" w:eastAsia="Times New Roman" w:hAnsi="Times New Roman" w:cs="Times New Roman"/>
          <w:sz w:val="24"/>
          <w:szCs w:val="24"/>
        </w:rPr>
        <w:t>. 96, 68-84. 10.1037/0022-0663.96.1.68.</w:t>
      </w:r>
    </w:p>
    <w:p w14:paraId="16C79D1B" w14:textId="7777777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Marginson</w:t>
      </w:r>
      <w:proofErr w:type="spellEnd"/>
      <w:r>
        <w:rPr>
          <w:rFonts w:ascii="Times New Roman" w:eastAsia="Times New Roman" w:hAnsi="Times New Roman" w:cs="Times New Roman"/>
          <w:sz w:val="24"/>
          <w:szCs w:val="24"/>
        </w:rPr>
        <w:t xml:space="preserve">, S. (2014). Student self-formation in international education. </w:t>
      </w:r>
      <w:r>
        <w:rPr>
          <w:rFonts w:ascii="Times New Roman" w:eastAsia="Times New Roman" w:hAnsi="Times New Roman" w:cs="Times New Roman"/>
          <w:i/>
          <w:sz w:val="24"/>
          <w:szCs w:val="24"/>
        </w:rPr>
        <w:t>Journal of Studies in International Education</w:t>
      </w:r>
      <w:r>
        <w:rPr>
          <w:rFonts w:ascii="Times New Roman" w:eastAsia="Times New Roman" w:hAnsi="Times New Roman" w:cs="Times New Roman"/>
          <w:sz w:val="24"/>
          <w:szCs w:val="24"/>
        </w:rPr>
        <w:t xml:space="preserve">, 18(1), 6-22. https://doi.org/10.1177/1028315313513 </w:t>
      </w:r>
    </w:p>
    <w:p w14:paraId="02E2D0D5" w14:textId="7777777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Marginson</w:t>
      </w:r>
      <w:proofErr w:type="spellEnd"/>
      <w:r>
        <w:rPr>
          <w:rFonts w:ascii="Times New Roman" w:eastAsia="Times New Roman" w:hAnsi="Times New Roman" w:cs="Times New Roman"/>
          <w:sz w:val="24"/>
          <w:szCs w:val="24"/>
        </w:rPr>
        <w:t xml:space="preserve">, S. (2018). </w:t>
      </w:r>
      <w:r>
        <w:rPr>
          <w:rFonts w:ascii="Times New Roman" w:eastAsia="Times New Roman" w:hAnsi="Times New Roman" w:cs="Times New Roman"/>
          <w:i/>
          <w:sz w:val="24"/>
          <w:szCs w:val="24"/>
        </w:rPr>
        <w:t>Higher education as self-formation.</w:t>
      </w:r>
      <w:r>
        <w:rPr>
          <w:rFonts w:ascii="Times New Roman" w:eastAsia="Times New Roman" w:hAnsi="Times New Roman" w:cs="Times New Roman"/>
          <w:sz w:val="24"/>
          <w:szCs w:val="24"/>
        </w:rPr>
        <w:t xml:space="preserve"> Inaugural Professorial Lecture, UCL Institute of Education, London. https://www.ucl-ioe-press.com/books/higher-education-and-lifelong-learning/higher-education-as-a-process-of-self-formation/ </w:t>
      </w:r>
    </w:p>
    <w:p w14:paraId="52721B73" w14:textId="63C8802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Marginson</w:t>
      </w:r>
      <w:proofErr w:type="spellEnd"/>
      <w:r>
        <w:rPr>
          <w:rFonts w:ascii="Times New Roman" w:eastAsia="Times New Roman" w:hAnsi="Times New Roman" w:cs="Times New Roman"/>
          <w:sz w:val="24"/>
          <w:szCs w:val="24"/>
        </w:rPr>
        <w:t>, S. (forthcoming, 202</w:t>
      </w:r>
      <w:r w:rsidR="00595F2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595F29">
        <w:rPr>
          <w:rFonts w:ascii="Times New Roman" w:eastAsia="Times New Roman" w:hAnsi="Times New Roman" w:cs="Times New Roman"/>
          <w:iCs/>
          <w:sz w:val="24"/>
          <w:szCs w:val="24"/>
        </w:rPr>
        <w:t>Higher education as students’ self-formation.</w:t>
      </w:r>
      <w:r w:rsidR="00595F29">
        <w:rPr>
          <w:rFonts w:ascii="Times New Roman" w:eastAsia="Times New Roman" w:hAnsi="Times New Roman" w:cs="Times New Roman"/>
          <w:sz w:val="24"/>
          <w:szCs w:val="24"/>
        </w:rPr>
        <w:t xml:space="preserve"> </w:t>
      </w:r>
      <w:r w:rsidR="00595F29" w:rsidRPr="00595F29">
        <w:rPr>
          <w:rFonts w:ascii="Times New Roman" w:eastAsia="Times New Roman" w:hAnsi="Times New Roman" w:cs="Times New Roman"/>
          <w:i/>
          <w:iCs/>
          <w:sz w:val="24"/>
          <w:szCs w:val="24"/>
        </w:rPr>
        <w:t>Research Handbook of Student Experiences in Higher Education.</w:t>
      </w:r>
    </w:p>
    <w:p w14:paraId="093AFB26"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Marín, V.I., </w:t>
      </w:r>
      <w:proofErr w:type="spellStart"/>
      <w:r>
        <w:rPr>
          <w:rFonts w:ascii="Times New Roman" w:eastAsia="Times New Roman" w:hAnsi="Times New Roman" w:cs="Times New Roman"/>
          <w:sz w:val="24"/>
          <w:szCs w:val="24"/>
        </w:rPr>
        <w:t>Crosetti</w:t>
      </w:r>
      <w:proofErr w:type="spellEnd"/>
      <w:r>
        <w:rPr>
          <w:rFonts w:ascii="Times New Roman" w:eastAsia="Times New Roman" w:hAnsi="Times New Roman" w:cs="Times New Roman"/>
          <w:sz w:val="24"/>
          <w:szCs w:val="24"/>
        </w:rPr>
        <w:t xml:space="preserve">, B.D., &amp; </w:t>
      </w:r>
      <w:proofErr w:type="spellStart"/>
      <w:r>
        <w:rPr>
          <w:rFonts w:ascii="Times New Roman" w:eastAsia="Times New Roman" w:hAnsi="Times New Roman" w:cs="Times New Roman"/>
          <w:sz w:val="24"/>
          <w:szCs w:val="24"/>
        </w:rPr>
        <w:t>Darder</w:t>
      </w:r>
      <w:proofErr w:type="spellEnd"/>
      <w:r>
        <w:rPr>
          <w:rFonts w:ascii="Times New Roman" w:eastAsia="Times New Roman" w:hAnsi="Times New Roman" w:cs="Times New Roman"/>
          <w:sz w:val="24"/>
          <w:szCs w:val="24"/>
        </w:rPr>
        <w:t xml:space="preserve">, A. (2020). Technology-Enhanced Learning for Student Agency in Higher Education: a Systematic Literature Review. </w:t>
      </w:r>
      <w:proofErr w:type="spellStart"/>
      <w:r>
        <w:rPr>
          <w:rFonts w:ascii="Times New Roman" w:eastAsia="Times New Roman" w:hAnsi="Times New Roman" w:cs="Times New Roman"/>
          <w:i/>
          <w:sz w:val="24"/>
          <w:szCs w:val="24"/>
        </w:rPr>
        <w:t>IxD&amp;A</w:t>
      </w:r>
      <w:proofErr w:type="spellEnd"/>
      <w:r>
        <w:rPr>
          <w:rFonts w:ascii="Times New Roman" w:eastAsia="Times New Roman" w:hAnsi="Times New Roman" w:cs="Times New Roman"/>
          <w:i/>
          <w:sz w:val="24"/>
          <w:szCs w:val="24"/>
        </w:rPr>
        <w:t>, 45</w:t>
      </w:r>
      <w:r>
        <w:rPr>
          <w:rFonts w:ascii="Times New Roman" w:eastAsia="Times New Roman" w:hAnsi="Times New Roman" w:cs="Times New Roman"/>
          <w:sz w:val="24"/>
          <w:szCs w:val="24"/>
        </w:rPr>
        <w:t>, 15-49.</w:t>
      </w:r>
    </w:p>
    <w:p w14:paraId="36C191BC"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Matthews, K. E. (2017). Five propositions for genuine students as partners practice. International Journal for Students as Partners, 1(2), 1-9. https://dx.doi.org/10.15173/ijsap.v1i2.3315 </w:t>
      </w:r>
    </w:p>
    <w:p w14:paraId="3B00A43A"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Matthews, K. E., Cook-Sather, A., Acai, A., </w:t>
      </w:r>
      <w:proofErr w:type="spellStart"/>
      <w:r>
        <w:rPr>
          <w:rFonts w:ascii="Times New Roman" w:eastAsia="Times New Roman" w:hAnsi="Times New Roman" w:cs="Times New Roman"/>
          <w:sz w:val="24"/>
          <w:szCs w:val="24"/>
        </w:rPr>
        <w:t>Dvorakova</w:t>
      </w:r>
      <w:proofErr w:type="spellEnd"/>
      <w:r>
        <w:rPr>
          <w:rFonts w:ascii="Times New Roman" w:eastAsia="Times New Roman" w:hAnsi="Times New Roman" w:cs="Times New Roman"/>
          <w:sz w:val="24"/>
          <w:szCs w:val="24"/>
        </w:rPr>
        <w:t xml:space="preserve">, S. L., </w:t>
      </w:r>
      <w:proofErr w:type="spellStart"/>
      <w:r>
        <w:rPr>
          <w:rFonts w:ascii="Times New Roman" w:eastAsia="Times New Roman" w:hAnsi="Times New Roman" w:cs="Times New Roman"/>
          <w:sz w:val="24"/>
          <w:szCs w:val="24"/>
        </w:rPr>
        <w:t>Felten</w:t>
      </w:r>
      <w:proofErr w:type="spellEnd"/>
      <w:r>
        <w:rPr>
          <w:rFonts w:ascii="Times New Roman" w:eastAsia="Times New Roman" w:hAnsi="Times New Roman" w:cs="Times New Roman"/>
          <w:sz w:val="24"/>
          <w:szCs w:val="24"/>
        </w:rPr>
        <w:t xml:space="preserve">, P., Marquis, E., &amp; </w:t>
      </w:r>
      <w:proofErr w:type="spellStart"/>
      <w:r>
        <w:rPr>
          <w:rFonts w:ascii="Times New Roman" w:eastAsia="Times New Roman" w:hAnsi="Times New Roman" w:cs="Times New Roman"/>
          <w:sz w:val="24"/>
          <w:szCs w:val="24"/>
        </w:rPr>
        <w:t>MercerMapstone</w:t>
      </w:r>
      <w:proofErr w:type="spellEnd"/>
      <w:r>
        <w:rPr>
          <w:rFonts w:ascii="Times New Roman" w:eastAsia="Times New Roman" w:hAnsi="Times New Roman" w:cs="Times New Roman"/>
          <w:sz w:val="24"/>
          <w:szCs w:val="24"/>
        </w:rPr>
        <w:t xml:space="preserve">, L. (2018a). Toward theories of partnership praxis: An analysis of interpretive framing in literature on students as partners in university teaching and learning. </w:t>
      </w:r>
      <w:r>
        <w:rPr>
          <w:rFonts w:ascii="Times New Roman" w:eastAsia="Times New Roman" w:hAnsi="Times New Roman" w:cs="Times New Roman"/>
          <w:i/>
          <w:sz w:val="24"/>
          <w:szCs w:val="24"/>
        </w:rPr>
        <w:t>Higher Education Research &amp; Development</w:t>
      </w:r>
      <w:r>
        <w:rPr>
          <w:rFonts w:ascii="Times New Roman" w:eastAsia="Times New Roman" w:hAnsi="Times New Roman" w:cs="Times New Roman"/>
          <w:sz w:val="24"/>
          <w:szCs w:val="24"/>
        </w:rPr>
        <w:t xml:space="preserve">. https://doi.org/10.1080/07294360.2018.1530199 </w:t>
      </w:r>
    </w:p>
    <w:p w14:paraId="22A91120"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Matthews, K. E., Dwyer, A., Hine, L., &amp; Turner, J. (2018b). Conceptions of students as partners. </w:t>
      </w:r>
      <w:r>
        <w:rPr>
          <w:rFonts w:ascii="Times New Roman" w:eastAsia="Times New Roman" w:hAnsi="Times New Roman" w:cs="Times New Roman"/>
          <w:i/>
          <w:sz w:val="24"/>
          <w:szCs w:val="24"/>
        </w:rPr>
        <w:t>Higher Education</w:t>
      </w:r>
      <w:r>
        <w:rPr>
          <w:rFonts w:ascii="Times New Roman" w:eastAsia="Times New Roman" w:hAnsi="Times New Roman" w:cs="Times New Roman"/>
          <w:sz w:val="24"/>
          <w:szCs w:val="24"/>
        </w:rPr>
        <w:t xml:space="preserve">, 1-15. Retrieved from https://dx.doi.org/10.1007/s10734-018-0257-y </w:t>
      </w:r>
    </w:p>
    <w:p w14:paraId="4B02BA1D"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Matthews, K. E., Mercer-</w:t>
      </w:r>
      <w:proofErr w:type="spellStart"/>
      <w:r>
        <w:rPr>
          <w:rFonts w:ascii="Times New Roman" w:eastAsia="Times New Roman" w:hAnsi="Times New Roman" w:cs="Times New Roman"/>
          <w:sz w:val="24"/>
          <w:szCs w:val="24"/>
        </w:rPr>
        <w:t>Mapstone</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Dvorakova</w:t>
      </w:r>
      <w:proofErr w:type="spellEnd"/>
      <w:r>
        <w:rPr>
          <w:rFonts w:ascii="Times New Roman" w:eastAsia="Times New Roman" w:hAnsi="Times New Roman" w:cs="Times New Roman"/>
          <w:sz w:val="24"/>
          <w:szCs w:val="24"/>
        </w:rPr>
        <w:t xml:space="preserve">, S. L., </w:t>
      </w:r>
      <w:proofErr w:type="spellStart"/>
      <w:r>
        <w:rPr>
          <w:rFonts w:ascii="Times New Roman" w:eastAsia="Times New Roman" w:hAnsi="Times New Roman" w:cs="Times New Roman"/>
          <w:sz w:val="24"/>
          <w:szCs w:val="24"/>
        </w:rPr>
        <w:t>Acia</w:t>
      </w:r>
      <w:proofErr w:type="spellEnd"/>
      <w:r>
        <w:rPr>
          <w:rFonts w:ascii="Times New Roman" w:eastAsia="Times New Roman" w:hAnsi="Times New Roman" w:cs="Times New Roman"/>
          <w:sz w:val="24"/>
          <w:szCs w:val="24"/>
        </w:rPr>
        <w:t xml:space="preserve">, A., Cook-Sather, A., </w:t>
      </w:r>
      <w:proofErr w:type="spellStart"/>
      <w:r>
        <w:rPr>
          <w:rFonts w:ascii="Times New Roman" w:eastAsia="Times New Roman" w:hAnsi="Times New Roman" w:cs="Times New Roman"/>
          <w:sz w:val="24"/>
          <w:szCs w:val="24"/>
        </w:rPr>
        <w:t>Felten</w:t>
      </w:r>
      <w:proofErr w:type="spellEnd"/>
      <w:r>
        <w:rPr>
          <w:rFonts w:ascii="Times New Roman" w:eastAsia="Times New Roman" w:hAnsi="Times New Roman" w:cs="Times New Roman"/>
          <w:sz w:val="24"/>
          <w:szCs w:val="24"/>
        </w:rPr>
        <w:t xml:space="preserve">, P., Healey, M., Healey, R., &amp; Marquis, E. (2018c). Enhancing outcomes and reducing inhibitors to the engagement of students and staff in learning and teaching partnerships: Implications for academic development. </w:t>
      </w:r>
      <w:r>
        <w:rPr>
          <w:rFonts w:ascii="Times New Roman" w:eastAsia="Times New Roman" w:hAnsi="Times New Roman" w:cs="Times New Roman"/>
          <w:i/>
          <w:sz w:val="24"/>
          <w:szCs w:val="24"/>
        </w:rPr>
        <w:t>International Journal for Academic Development</w:t>
      </w:r>
      <w:r>
        <w:rPr>
          <w:rFonts w:ascii="Times New Roman" w:eastAsia="Times New Roman" w:hAnsi="Times New Roman" w:cs="Times New Roman"/>
          <w:sz w:val="24"/>
          <w:szCs w:val="24"/>
        </w:rPr>
        <w:t xml:space="preserve">. https://doi.org/10.1080/1360144X.2018.1545233 </w:t>
      </w:r>
    </w:p>
    <w:p w14:paraId="42AABAEF"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Mayhew, Matthew J., Alyssa N. </w:t>
      </w:r>
      <w:proofErr w:type="spellStart"/>
      <w:r>
        <w:rPr>
          <w:rFonts w:ascii="Times New Roman" w:eastAsia="Times New Roman" w:hAnsi="Times New Roman" w:cs="Times New Roman"/>
          <w:sz w:val="24"/>
          <w:szCs w:val="24"/>
        </w:rPr>
        <w:t>Rockenbach</w:t>
      </w:r>
      <w:proofErr w:type="spellEnd"/>
      <w:r>
        <w:rPr>
          <w:rFonts w:ascii="Times New Roman" w:eastAsia="Times New Roman" w:hAnsi="Times New Roman" w:cs="Times New Roman"/>
          <w:sz w:val="24"/>
          <w:szCs w:val="24"/>
        </w:rPr>
        <w:t xml:space="preserve">, Nicholas A. Bowman, Tricia A. Seifert, and Gregory C. </w:t>
      </w:r>
      <w:proofErr w:type="spellStart"/>
      <w:r>
        <w:rPr>
          <w:rFonts w:ascii="Times New Roman" w:eastAsia="Times New Roman" w:hAnsi="Times New Roman" w:cs="Times New Roman"/>
          <w:sz w:val="24"/>
          <w:szCs w:val="24"/>
        </w:rPr>
        <w:t>Wolniak</w:t>
      </w:r>
      <w:proofErr w:type="spellEnd"/>
      <w:r>
        <w:rPr>
          <w:rFonts w:ascii="Times New Roman" w:eastAsia="Times New Roman" w:hAnsi="Times New Roman" w:cs="Times New Roman"/>
          <w:sz w:val="24"/>
          <w:szCs w:val="24"/>
        </w:rPr>
        <w:t xml:space="preserve"> with Ernest T. Pascarella and Patrick T. </w:t>
      </w:r>
      <w:proofErr w:type="spellStart"/>
      <w:r>
        <w:rPr>
          <w:rFonts w:ascii="Times New Roman" w:eastAsia="Times New Roman" w:hAnsi="Times New Roman" w:cs="Times New Roman"/>
          <w:sz w:val="24"/>
          <w:szCs w:val="24"/>
        </w:rPr>
        <w:t>Terenzini</w:t>
      </w:r>
      <w:proofErr w:type="spellEnd"/>
      <w:r>
        <w:rPr>
          <w:rFonts w:ascii="Times New Roman" w:eastAsia="Times New Roman" w:hAnsi="Times New Roman" w:cs="Times New Roman"/>
          <w:sz w:val="24"/>
          <w:szCs w:val="24"/>
        </w:rPr>
        <w:t xml:space="preserve"> (2016). </w:t>
      </w:r>
      <w:r>
        <w:rPr>
          <w:rFonts w:ascii="Times New Roman" w:eastAsia="Times New Roman" w:hAnsi="Times New Roman" w:cs="Times New Roman"/>
          <w:i/>
          <w:sz w:val="24"/>
          <w:szCs w:val="24"/>
        </w:rPr>
        <w:t xml:space="preserve">How College Affects Students: Volume 3. 21st Century Evidence That Higher Education Works. </w:t>
      </w:r>
      <w:r>
        <w:rPr>
          <w:rFonts w:ascii="Times New Roman" w:eastAsia="Times New Roman" w:hAnsi="Times New Roman" w:cs="Times New Roman"/>
          <w:sz w:val="24"/>
          <w:szCs w:val="24"/>
        </w:rPr>
        <w:t>San Francisco, CA: Jossey-Bass.</w:t>
      </w:r>
    </w:p>
    <w:p w14:paraId="487E97ED"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Neale B, Henwood K, Holland J. (2012). Researching lives through time: an introduction to the </w:t>
      </w:r>
      <w:proofErr w:type="spellStart"/>
      <w:r>
        <w:rPr>
          <w:rFonts w:ascii="Times New Roman" w:eastAsia="Times New Roman" w:hAnsi="Times New Roman" w:cs="Times New Roman"/>
          <w:sz w:val="24"/>
          <w:szCs w:val="24"/>
        </w:rPr>
        <w:t>Timescapes</w:t>
      </w:r>
      <w:proofErr w:type="spellEnd"/>
      <w:r>
        <w:rPr>
          <w:rFonts w:ascii="Times New Roman" w:eastAsia="Times New Roman" w:hAnsi="Times New Roman" w:cs="Times New Roman"/>
          <w:sz w:val="24"/>
          <w:szCs w:val="24"/>
        </w:rPr>
        <w:t xml:space="preserve"> approach. </w:t>
      </w:r>
      <w:r>
        <w:rPr>
          <w:rFonts w:ascii="Times New Roman" w:eastAsia="Times New Roman" w:hAnsi="Times New Roman" w:cs="Times New Roman"/>
          <w:i/>
          <w:sz w:val="24"/>
          <w:szCs w:val="24"/>
        </w:rPr>
        <w:t>Qualitative Research</w:t>
      </w:r>
      <w:r>
        <w:rPr>
          <w:rFonts w:ascii="Times New Roman" w:eastAsia="Times New Roman" w:hAnsi="Times New Roman" w:cs="Times New Roman"/>
          <w:sz w:val="24"/>
          <w:szCs w:val="24"/>
        </w:rPr>
        <w:t>. 2012;12(1):4-15. doi:10.1177/1468794111426229</w:t>
      </w:r>
    </w:p>
    <w:p w14:paraId="349553AB"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Nussbaum, M. (2005a). </w:t>
      </w:r>
      <w:r>
        <w:rPr>
          <w:rFonts w:ascii="Times New Roman" w:eastAsia="Times New Roman" w:hAnsi="Times New Roman" w:cs="Times New Roman"/>
          <w:i/>
          <w:sz w:val="24"/>
          <w:szCs w:val="24"/>
        </w:rPr>
        <w:t>Women and human development - The capabilities approach</w:t>
      </w:r>
      <w:r>
        <w:rPr>
          <w:rFonts w:ascii="Times New Roman" w:eastAsia="Times New Roman" w:hAnsi="Times New Roman" w:cs="Times New Roman"/>
          <w:sz w:val="24"/>
          <w:szCs w:val="24"/>
        </w:rPr>
        <w:t>,8th printing. New York: Cambridge University Press.</w:t>
      </w:r>
    </w:p>
    <w:p w14:paraId="5FB7A228"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Nussbaum, M. (2005b). Capabilities as fundamental entitlements: Sen and social justice. In B. Agarwal, J. Humphries, &amp; I. </w:t>
      </w:r>
      <w:proofErr w:type="spellStart"/>
      <w:r>
        <w:rPr>
          <w:rFonts w:ascii="Times New Roman" w:eastAsia="Times New Roman" w:hAnsi="Times New Roman" w:cs="Times New Roman"/>
          <w:sz w:val="24"/>
          <w:szCs w:val="24"/>
        </w:rPr>
        <w:t>Robeyns</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Amartya Sen's work and ideas: A gendered perspective</w:t>
      </w:r>
      <w:r>
        <w:rPr>
          <w:rFonts w:ascii="Times New Roman" w:eastAsia="Times New Roman" w:hAnsi="Times New Roman" w:cs="Times New Roman"/>
          <w:sz w:val="24"/>
          <w:szCs w:val="24"/>
        </w:rPr>
        <w:t>. London: Routledge.</w:t>
      </w:r>
    </w:p>
    <w:p w14:paraId="22D4CCF9"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Nussbaum, M. (2006). </w:t>
      </w:r>
      <w:r>
        <w:rPr>
          <w:rFonts w:ascii="Times New Roman" w:eastAsia="Times New Roman" w:hAnsi="Times New Roman" w:cs="Times New Roman"/>
          <w:i/>
          <w:sz w:val="24"/>
          <w:szCs w:val="24"/>
        </w:rPr>
        <w:t>Frontiers of justice</w:t>
      </w:r>
      <w:r>
        <w:rPr>
          <w:rFonts w:ascii="Times New Roman" w:eastAsia="Times New Roman" w:hAnsi="Times New Roman" w:cs="Times New Roman"/>
          <w:sz w:val="24"/>
          <w:szCs w:val="24"/>
        </w:rPr>
        <w:t>. Cambridge, MA: The Belknap Press of Harvard University Press.</w:t>
      </w:r>
    </w:p>
    <w:p w14:paraId="58C82A46"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Nussbaum, M. (2010). </w:t>
      </w:r>
      <w:r>
        <w:rPr>
          <w:rFonts w:ascii="Times New Roman" w:eastAsia="Times New Roman" w:hAnsi="Times New Roman" w:cs="Times New Roman"/>
          <w:i/>
          <w:sz w:val="24"/>
          <w:szCs w:val="24"/>
        </w:rPr>
        <w:t>Not for profit</w:t>
      </w:r>
      <w:r>
        <w:rPr>
          <w:rFonts w:ascii="Times New Roman" w:eastAsia="Times New Roman" w:hAnsi="Times New Roman" w:cs="Times New Roman"/>
          <w:sz w:val="24"/>
          <w:szCs w:val="24"/>
        </w:rPr>
        <w:t>. Why democracy needs the humanities. Princeton, NJ: Princeton University Press.</w:t>
      </w:r>
    </w:p>
    <w:p w14:paraId="120A93A7"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Nussbaum, M. (2011). </w:t>
      </w:r>
      <w:r>
        <w:rPr>
          <w:rFonts w:ascii="Times New Roman" w:eastAsia="Times New Roman" w:hAnsi="Times New Roman" w:cs="Times New Roman"/>
          <w:i/>
          <w:sz w:val="24"/>
          <w:szCs w:val="24"/>
        </w:rPr>
        <w:t>Creating capabilities. The human development approach</w:t>
      </w:r>
      <w:r>
        <w:rPr>
          <w:rFonts w:ascii="Times New Roman" w:eastAsia="Times New Roman" w:hAnsi="Times New Roman" w:cs="Times New Roman"/>
          <w:sz w:val="24"/>
          <w:szCs w:val="24"/>
        </w:rPr>
        <w:t xml:space="preserve">. Cambridge, MA: Belknap Press of Harvard University Press. https://doi.org/10.4159/harvard.9780674061200 </w:t>
      </w:r>
    </w:p>
    <w:p w14:paraId="3828CF40"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OECD (2019). </w:t>
      </w:r>
      <w:r>
        <w:rPr>
          <w:rFonts w:ascii="Times New Roman" w:eastAsia="Times New Roman" w:hAnsi="Times New Roman" w:cs="Times New Roman"/>
          <w:i/>
          <w:sz w:val="24"/>
          <w:szCs w:val="24"/>
        </w:rPr>
        <w:t>Student Agency for 2030. Conceptual learning framework</w:t>
      </w:r>
      <w:r>
        <w:rPr>
          <w:rFonts w:ascii="Times New Roman" w:eastAsia="Times New Roman" w:hAnsi="Times New Roman" w:cs="Times New Roman"/>
          <w:sz w:val="24"/>
          <w:szCs w:val="24"/>
        </w:rPr>
        <w:t>. OECD Future of Education and Skills 2030. Paris, France: Directorate for Education and Skills, OECD.</w:t>
      </w:r>
      <w:hyperlink r:id="rId20">
        <w:r>
          <w:rPr>
            <w:rFonts w:ascii="Times New Roman" w:eastAsia="Times New Roman" w:hAnsi="Times New Roman" w:cs="Times New Roman"/>
            <w:sz w:val="24"/>
            <w:szCs w:val="24"/>
          </w:rPr>
          <w:t xml:space="preserve"> </w:t>
        </w:r>
      </w:hyperlink>
      <w:hyperlink r:id="rId21">
        <w:r>
          <w:rPr>
            <w:rFonts w:ascii="Times New Roman" w:eastAsia="Times New Roman" w:hAnsi="Times New Roman" w:cs="Times New Roman"/>
            <w:sz w:val="24"/>
            <w:szCs w:val="24"/>
            <w:u w:val="single"/>
          </w:rPr>
          <w:t>https://www.oecd.org/education/2030-project/teaching-and-learning/learning/student-agency/</w:t>
        </w:r>
      </w:hyperlink>
      <w:r>
        <w:rPr>
          <w:rFonts w:ascii="Times New Roman" w:eastAsia="Times New Roman" w:hAnsi="Times New Roman" w:cs="Times New Roman"/>
          <w:sz w:val="24"/>
          <w:szCs w:val="24"/>
        </w:rPr>
        <w:t xml:space="preserve"> </w:t>
      </w:r>
    </w:p>
    <w:p w14:paraId="4C0641B4"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O'Shea, Sarah &amp; Janine </w:t>
      </w:r>
      <w:proofErr w:type="spellStart"/>
      <w:r>
        <w:rPr>
          <w:rFonts w:ascii="Times New Roman" w:eastAsia="Times New Roman" w:hAnsi="Times New Roman" w:cs="Times New Roman"/>
          <w:sz w:val="24"/>
          <w:szCs w:val="24"/>
        </w:rPr>
        <w:t>Delahunty</w:t>
      </w:r>
      <w:proofErr w:type="spellEnd"/>
      <w:r>
        <w:rPr>
          <w:rFonts w:ascii="Times New Roman" w:eastAsia="Times New Roman" w:hAnsi="Times New Roman" w:cs="Times New Roman"/>
          <w:sz w:val="24"/>
          <w:szCs w:val="24"/>
        </w:rPr>
        <w:t xml:space="preserve"> (2018). Getting through the day and still having a smile on my face! How do students define success in the university learning environment?. </w:t>
      </w:r>
      <w:r>
        <w:rPr>
          <w:rFonts w:ascii="Times New Roman" w:eastAsia="Times New Roman" w:hAnsi="Times New Roman" w:cs="Times New Roman"/>
          <w:i/>
          <w:sz w:val="24"/>
          <w:szCs w:val="24"/>
        </w:rPr>
        <w:t>Higher Education Research &amp; Development</w:t>
      </w:r>
      <w:r>
        <w:rPr>
          <w:rFonts w:ascii="Times New Roman" w:eastAsia="Times New Roman" w:hAnsi="Times New Roman" w:cs="Times New Roman"/>
          <w:sz w:val="24"/>
          <w:szCs w:val="24"/>
        </w:rPr>
        <w:t xml:space="preserve"> 37(5):1062-1075.</w:t>
      </w:r>
    </w:p>
    <w:p w14:paraId="271377E0"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Pascarella, E. T. (1980). Student faculty informal contact and college outcomes. Review of Educational Research, 50 (4): 545 595. https://doi.org/1 0.3102/00346543050004545  </w:t>
      </w:r>
    </w:p>
    <w:p w14:paraId="30EA8BEA"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Pascarella, E., &amp; </w:t>
      </w:r>
      <w:proofErr w:type="spellStart"/>
      <w:r>
        <w:rPr>
          <w:rFonts w:ascii="Times New Roman" w:eastAsia="Times New Roman" w:hAnsi="Times New Roman" w:cs="Times New Roman"/>
          <w:sz w:val="24"/>
          <w:szCs w:val="24"/>
        </w:rPr>
        <w:t>Terenzini</w:t>
      </w:r>
      <w:proofErr w:type="spellEnd"/>
      <w:r>
        <w:rPr>
          <w:rFonts w:ascii="Times New Roman" w:eastAsia="Times New Roman" w:hAnsi="Times New Roman" w:cs="Times New Roman"/>
          <w:sz w:val="24"/>
          <w:szCs w:val="24"/>
        </w:rPr>
        <w:t xml:space="preserve">, P. (1991). </w:t>
      </w:r>
      <w:r>
        <w:rPr>
          <w:rFonts w:ascii="Times New Roman" w:eastAsia="Times New Roman" w:hAnsi="Times New Roman" w:cs="Times New Roman"/>
          <w:i/>
          <w:sz w:val="24"/>
          <w:szCs w:val="24"/>
        </w:rPr>
        <w:t>How college affects students</w:t>
      </w:r>
      <w:r>
        <w:rPr>
          <w:rFonts w:ascii="Times New Roman" w:eastAsia="Times New Roman" w:hAnsi="Times New Roman" w:cs="Times New Roman"/>
          <w:sz w:val="24"/>
          <w:szCs w:val="24"/>
        </w:rPr>
        <w:t xml:space="preserve">. San Francisco: Jossey-Bass. </w:t>
      </w:r>
    </w:p>
    <w:p w14:paraId="31066B0C"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Pascarella, E., &amp; </w:t>
      </w:r>
      <w:proofErr w:type="spellStart"/>
      <w:r>
        <w:rPr>
          <w:rFonts w:ascii="Times New Roman" w:eastAsia="Times New Roman" w:hAnsi="Times New Roman" w:cs="Times New Roman"/>
          <w:sz w:val="24"/>
          <w:szCs w:val="24"/>
        </w:rPr>
        <w:t>Terenzini</w:t>
      </w:r>
      <w:proofErr w:type="spellEnd"/>
      <w:r>
        <w:rPr>
          <w:rFonts w:ascii="Times New Roman" w:eastAsia="Times New Roman" w:hAnsi="Times New Roman" w:cs="Times New Roman"/>
          <w:sz w:val="24"/>
          <w:szCs w:val="24"/>
        </w:rPr>
        <w:t xml:space="preserve">, P. (2005). </w:t>
      </w:r>
      <w:r>
        <w:rPr>
          <w:rFonts w:ascii="Times New Roman" w:eastAsia="Times New Roman" w:hAnsi="Times New Roman" w:cs="Times New Roman"/>
          <w:i/>
          <w:sz w:val="24"/>
          <w:szCs w:val="24"/>
        </w:rPr>
        <w:t>How college affects students</w:t>
      </w:r>
      <w:r>
        <w:rPr>
          <w:rFonts w:ascii="Times New Roman" w:eastAsia="Times New Roman" w:hAnsi="Times New Roman" w:cs="Times New Roman"/>
          <w:sz w:val="24"/>
          <w:szCs w:val="24"/>
        </w:rPr>
        <w:t xml:space="preserve"> (Vol. 2): A third decade of research. San Francisco: Jossey-Bass.</w:t>
      </w:r>
    </w:p>
    <w:p w14:paraId="5E45796F"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Pham, T. (2021). </w:t>
      </w:r>
      <w:proofErr w:type="spellStart"/>
      <w:r>
        <w:rPr>
          <w:rFonts w:ascii="Times New Roman" w:eastAsia="Times New Roman" w:hAnsi="Times New Roman" w:cs="Times New Roman"/>
          <w:sz w:val="24"/>
          <w:szCs w:val="24"/>
        </w:rPr>
        <w:t>Conceptualising</w:t>
      </w:r>
      <w:proofErr w:type="spellEnd"/>
      <w:r>
        <w:rPr>
          <w:rFonts w:ascii="Times New Roman" w:eastAsia="Times New Roman" w:hAnsi="Times New Roman" w:cs="Times New Roman"/>
          <w:sz w:val="24"/>
          <w:szCs w:val="24"/>
        </w:rPr>
        <w:t xml:space="preserve"> the employability agency of international graduates. Centre for Global Higher Education (CHGE) Working paper 75. https://www.researchcghe.org/publications/working-paper/conceptualising-the-employability-agency-of-international-graduates/ </w:t>
      </w:r>
    </w:p>
    <w:p w14:paraId="54AC4A49" w14:textId="0E49C0AF" w:rsidR="008264E0" w:rsidRDefault="008264E0" w:rsidP="0036425F">
      <w:pPr>
        <w:spacing w:after="100"/>
        <w:ind w:left="720" w:hanging="720"/>
        <w:jc w:val="both"/>
        <w:rPr>
          <w:rFonts w:ascii="Times New Roman" w:eastAsia="Times New Roman" w:hAnsi="Times New Roman" w:cs="Times New Roman"/>
          <w:sz w:val="24"/>
          <w:szCs w:val="24"/>
        </w:rPr>
      </w:pPr>
      <w:proofErr w:type="spellStart"/>
      <w:r w:rsidRPr="008264E0">
        <w:rPr>
          <w:rFonts w:ascii="Times New Roman" w:eastAsia="Times New Roman" w:hAnsi="Times New Roman" w:cs="Times New Roman"/>
          <w:sz w:val="24"/>
          <w:szCs w:val="24"/>
        </w:rPr>
        <w:t>Perna</w:t>
      </w:r>
      <w:proofErr w:type="spellEnd"/>
      <w:r w:rsidRPr="008264E0">
        <w:rPr>
          <w:rFonts w:ascii="Times New Roman" w:eastAsia="Times New Roman" w:hAnsi="Times New Roman" w:cs="Times New Roman"/>
          <w:sz w:val="24"/>
          <w:szCs w:val="24"/>
        </w:rPr>
        <w:t>, L. W. (2005). The benefits of higher education: Sex, racial/ethnic, and socioeconomic group differences. Review of Higher Education, 29, 2352.</w:t>
      </w:r>
    </w:p>
    <w:p w14:paraId="6C9ED815"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Reay, D., David, M., &amp; Ball, S. (2005). </w:t>
      </w:r>
      <w:r>
        <w:rPr>
          <w:rFonts w:ascii="Times New Roman" w:eastAsia="Times New Roman" w:hAnsi="Times New Roman" w:cs="Times New Roman"/>
          <w:i/>
          <w:sz w:val="24"/>
          <w:szCs w:val="24"/>
        </w:rPr>
        <w:t>Degree of choice: Class, race, gender and higher education</w:t>
      </w:r>
      <w:r>
        <w:rPr>
          <w:rFonts w:ascii="Times New Roman" w:eastAsia="Times New Roman" w:hAnsi="Times New Roman" w:cs="Times New Roman"/>
          <w:sz w:val="24"/>
          <w:szCs w:val="24"/>
        </w:rPr>
        <w:t>. London: Trentham Books.</w:t>
      </w:r>
    </w:p>
    <w:p w14:paraId="24D47DC4"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Reay D., Crozier G. &amp; Clayton J. (2010). "Fitting in" or "standing out": Working class students in UK higher education. </w:t>
      </w:r>
      <w:r>
        <w:rPr>
          <w:rFonts w:ascii="Times New Roman" w:eastAsia="Times New Roman" w:hAnsi="Times New Roman" w:cs="Times New Roman"/>
          <w:i/>
          <w:sz w:val="24"/>
          <w:szCs w:val="24"/>
        </w:rPr>
        <w:t>British Educational Research Journal</w:t>
      </w:r>
      <w:r>
        <w:rPr>
          <w:rFonts w:ascii="Times New Roman" w:eastAsia="Times New Roman" w:hAnsi="Times New Roman" w:cs="Times New Roman"/>
          <w:sz w:val="24"/>
          <w:szCs w:val="24"/>
        </w:rPr>
        <w:t xml:space="preserve"> 36(1), 107-124. https://doi.org/10.1080/01411920902878925 </w:t>
      </w:r>
    </w:p>
    <w:p w14:paraId="06E97D7B"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Reay, D. (2004). ‘It's all becoming a habitus’: beyond the habitual use of habitus in educational research, </w:t>
      </w:r>
      <w:r>
        <w:rPr>
          <w:rFonts w:ascii="Times New Roman" w:eastAsia="Times New Roman" w:hAnsi="Times New Roman" w:cs="Times New Roman"/>
          <w:i/>
          <w:sz w:val="24"/>
          <w:szCs w:val="24"/>
        </w:rPr>
        <w:t>British Journal of Sociology of Education</w:t>
      </w:r>
      <w:r>
        <w:rPr>
          <w:rFonts w:ascii="Times New Roman" w:eastAsia="Times New Roman" w:hAnsi="Times New Roman" w:cs="Times New Roman"/>
          <w:sz w:val="24"/>
          <w:szCs w:val="24"/>
        </w:rPr>
        <w:t>, 25:4, 431-444, DOI: 10.1080/0142569042000236934</w:t>
      </w:r>
    </w:p>
    <w:p w14:paraId="48EE1ADD"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Ryan, R. M., Deci, E. L., </w:t>
      </w:r>
      <w:proofErr w:type="spellStart"/>
      <w:r>
        <w:rPr>
          <w:rFonts w:ascii="Times New Roman" w:eastAsia="Times New Roman" w:hAnsi="Times New Roman" w:cs="Times New Roman"/>
          <w:sz w:val="24"/>
          <w:szCs w:val="24"/>
        </w:rPr>
        <w:t>Vansteenkiste</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Soenens</w:t>
      </w:r>
      <w:proofErr w:type="spellEnd"/>
      <w:r>
        <w:rPr>
          <w:rFonts w:ascii="Times New Roman" w:eastAsia="Times New Roman" w:hAnsi="Times New Roman" w:cs="Times New Roman"/>
          <w:sz w:val="24"/>
          <w:szCs w:val="24"/>
        </w:rPr>
        <w:t xml:space="preserve">, B. (2021). Building a science of motivated persons: Self-determination theory’s empirical approach to human experience and the regulation of behavior. Motivation Science, 7(2), 97–110. </w:t>
      </w:r>
      <w:hyperlink r:id="rId22">
        <w:r>
          <w:rPr>
            <w:rFonts w:ascii="Times New Roman" w:eastAsia="Times New Roman" w:hAnsi="Times New Roman" w:cs="Times New Roman"/>
            <w:sz w:val="24"/>
            <w:szCs w:val="24"/>
            <w:u w:val="single"/>
          </w:rPr>
          <w:t>https://doi.org/10.1037/mot0000194</w:t>
        </w:r>
      </w:hyperlink>
    </w:p>
    <w:p w14:paraId="71897A9B" w14:textId="7777777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Ryff</w:t>
      </w:r>
      <w:proofErr w:type="spellEnd"/>
      <w:r>
        <w:rPr>
          <w:rFonts w:ascii="Times New Roman" w:eastAsia="Times New Roman" w:hAnsi="Times New Roman" w:cs="Times New Roman"/>
          <w:sz w:val="24"/>
          <w:szCs w:val="24"/>
        </w:rPr>
        <w:t xml:space="preserve">, Carol D. (1989). Happiness is Everything, or Is It? Explorations on the Meaning of Psychological Well‐Being. </w:t>
      </w:r>
      <w:r>
        <w:rPr>
          <w:rFonts w:ascii="Times New Roman" w:eastAsia="Times New Roman" w:hAnsi="Times New Roman" w:cs="Times New Roman"/>
          <w:i/>
          <w:sz w:val="24"/>
          <w:szCs w:val="24"/>
        </w:rPr>
        <w:t>Journal of Personality and Social Psychology</w:t>
      </w:r>
      <w:r>
        <w:rPr>
          <w:rFonts w:ascii="Times New Roman" w:eastAsia="Times New Roman" w:hAnsi="Times New Roman" w:cs="Times New Roman"/>
          <w:sz w:val="24"/>
          <w:szCs w:val="24"/>
        </w:rPr>
        <w:t xml:space="preserve">. 57/6: 1069-81 https://doi.org/10.1037/0022-3514.57.6.1069 </w:t>
      </w:r>
    </w:p>
    <w:p w14:paraId="423182D8"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 A. (1985). Well-being, agency and freedom. The Dewey Lectures 1984. </w:t>
      </w:r>
      <w:r>
        <w:rPr>
          <w:rFonts w:ascii="Times New Roman" w:eastAsia="Times New Roman" w:hAnsi="Times New Roman" w:cs="Times New Roman"/>
          <w:i/>
          <w:sz w:val="24"/>
          <w:szCs w:val="24"/>
        </w:rPr>
        <w:t>Journal of Philosophy</w:t>
      </w:r>
      <w:r>
        <w:rPr>
          <w:rFonts w:ascii="Times New Roman" w:eastAsia="Times New Roman" w:hAnsi="Times New Roman" w:cs="Times New Roman"/>
          <w:sz w:val="24"/>
          <w:szCs w:val="24"/>
        </w:rPr>
        <w:t xml:space="preserve">, 82, 169- 221. https://doi.org/10.5840/jphil198582466 </w:t>
      </w:r>
    </w:p>
    <w:p w14:paraId="00758019"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 A. (1992). </w:t>
      </w:r>
      <w:r>
        <w:rPr>
          <w:rFonts w:ascii="Times New Roman" w:eastAsia="Times New Roman" w:hAnsi="Times New Roman" w:cs="Times New Roman"/>
          <w:i/>
          <w:sz w:val="24"/>
          <w:szCs w:val="24"/>
        </w:rPr>
        <w:t>Inequality re-examined.</w:t>
      </w:r>
      <w:r>
        <w:rPr>
          <w:rFonts w:ascii="Times New Roman" w:eastAsia="Times New Roman" w:hAnsi="Times New Roman" w:cs="Times New Roman"/>
          <w:sz w:val="24"/>
          <w:szCs w:val="24"/>
        </w:rPr>
        <w:t xml:space="preserve"> Cambridge, MA: Harvard University Press.</w:t>
      </w:r>
    </w:p>
    <w:p w14:paraId="36BFFA93"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 A. (1999). </w:t>
      </w:r>
      <w:r>
        <w:rPr>
          <w:rFonts w:ascii="Times New Roman" w:eastAsia="Times New Roman" w:hAnsi="Times New Roman" w:cs="Times New Roman"/>
          <w:i/>
          <w:sz w:val="24"/>
          <w:szCs w:val="24"/>
        </w:rPr>
        <w:t>Development as freedom.</w:t>
      </w:r>
      <w:r>
        <w:rPr>
          <w:rFonts w:ascii="Times New Roman" w:eastAsia="Times New Roman" w:hAnsi="Times New Roman" w:cs="Times New Roman"/>
          <w:sz w:val="24"/>
          <w:szCs w:val="24"/>
        </w:rPr>
        <w:t xml:space="preserve"> Oxford: Oxford University Press.</w:t>
      </w:r>
    </w:p>
    <w:p w14:paraId="7DFCBBC8" w14:textId="77777777" w:rsidR="00170769" w:rsidRDefault="00BF3419" w:rsidP="0036425F">
      <w:pPr>
        <w:spacing w:after="100"/>
        <w:ind w:left="720" w:hanging="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Sen, A. (2009). </w:t>
      </w:r>
      <w:r>
        <w:rPr>
          <w:rFonts w:ascii="Times New Roman" w:eastAsia="Times New Roman" w:hAnsi="Times New Roman" w:cs="Times New Roman"/>
          <w:i/>
          <w:sz w:val="24"/>
          <w:szCs w:val="24"/>
        </w:rPr>
        <w:t>The idea of justice.</w:t>
      </w:r>
      <w:r>
        <w:rPr>
          <w:rFonts w:ascii="Times New Roman" w:eastAsia="Times New Roman" w:hAnsi="Times New Roman" w:cs="Times New Roman"/>
          <w:sz w:val="24"/>
          <w:szCs w:val="24"/>
        </w:rPr>
        <w:t xml:space="preserve"> London: Penguin Books.</w:t>
      </w:r>
      <w:hyperlink r:id="rId23">
        <w:r>
          <w:rPr>
            <w:rFonts w:ascii="Times New Roman" w:eastAsia="Times New Roman" w:hAnsi="Times New Roman" w:cs="Times New Roman"/>
            <w:sz w:val="24"/>
            <w:szCs w:val="24"/>
          </w:rPr>
          <w:t xml:space="preserve"> </w:t>
        </w:r>
      </w:hyperlink>
      <w:hyperlink r:id="rId24">
        <w:r>
          <w:rPr>
            <w:rFonts w:ascii="Times New Roman" w:eastAsia="Times New Roman" w:hAnsi="Times New Roman" w:cs="Times New Roman"/>
            <w:sz w:val="24"/>
            <w:szCs w:val="24"/>
            <w:u w:val="single"/>
          </w:rPr>
          <w:t>https://doi.org/10.4159/9780674054578-013</w:t>
        </w:r>
      </w:hyperlink>
    </w:p>
    <w:p w14:paraId="63BCDFEA" w14:textId="7777777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Seppälä</w:t>
      </w:r>
      <w:proofErr w:type="spellEnd"/>
      <w:r>
        <w:rPr>
          <w:rFonts w:ascii="Times New Roman" w:eastAsia="Times New Roman" w:hAnsi="Times New Roman" w:cs="Times New Roman"/>
          <w:sz w:val="24"/>
          <w:szCs w:val="24"/>
        </w:rPr>
        <w:t xml:space="preserve">, R. (2018). Beyond the “Student” Position: Pursuing Agency by Drawing on Learners’ Life-Worlds on an EAP Course. </w:t>
      </w:r>
      <w:r>
        <w:rPr>
          <w:rFonts w:ascii="Times New Roman" w:eastAsia="Times New Roman" w:hAnsi="Times New Roman" w:cs="Times New Roman"/>
          <w:i/>
          <w:sz w:val="24"/>
          <w:szCs w:val="24"/>
        </w:rPr>
        <w:t>Language Learning in Higher Education</w:t>
      </w:r>
      <w:r>
        <w:rPr>
          <w:rFonts w:ascii="Times New Roman" w:eastAsia="Times New Roman" w:hAnsi="Times New Roman" w:cs="Times New Roman"/>
          <w:sz w:val="24"/>
          <w:szCs w:val="24"/>
        </w:rPr>
        <w:t xml:space="preserve"> 8 (1): 115–131. doi:10.1515/cercles-2018-0006.</w:t>
      </w:r>
    </w:p>
    <w:p w14:paraId="3C530C12" w14:textId="77777777" w:rsidR="00170769" w:rsidRPr="00507EAC" w:rsidRDefault="00BF3419" w:rsidP="0036425F">
      <w:pPr>
        <w:spacing w:after="100"/>
        <w:ind w:left="720" w:hanging="720"/>
        <w:jc w:val="both"/>
        <w:rPr>
          <w:rFonts w:ascii="Times New Roman" w:eastAsia="Times New Roman" w:hAnsi="Times New Roman" w:cs="Times New Roman"/>
          <w:sz w:val="24"/>
          <w:szCs w:val="24"/>
          <w:lang w:val="de-DE"/>
        </w:rPr>
      </w:pPr>
      <w:proofErr w:type="spellStart"/>
      <w:r>
        <w:rPr>
          <w:rFonts w:ascii="Times New Roman" w:eastAsia="Times New Roman" w:hAnsi="Times New Roman" w:cs="Times New Roman"/>
          <w:sz w:val="24"/>
          <w:szCs w:val="24"/>
        </w:rPr>
        <w:t>Spady</w:t>
      </w:r>
      <w:proofErr w:type="spellEnd"/>
      <w:r>
        <w:rPr>
          <w:rFonts w:ascii="Times New Roman" w:eastAsia="Times New Roman" w:hAnsi="Times New Roman" w:cs="Times New Roman"/>
          <w:sz w:val="24"/>
          <w:szCs w:val="24"/>
        </w:rPr>
        <w:t xml:space="preserve">, W.G. (1971). Dropouts from higher education: Toward an empirical model. </w:t>
      </w:r>
      <w:r w:rsidRPr="00507EAC">
        <w:rPr>
          <w:rFonts w:ascii="Times New Roman" w:eastAsia="Times New Roman" w:hAnsi="Times New Roman" w:cs="Times New Roman"/>
          <w:i/>
          <w:sz w:val="24"/>
          <w:szCs w:val="24"/>
          <w:lang w:val="de-DE"/>
        </w:rPr>
        <w:t>Interchange</w:t>
      </w:r>
      <w:r w:rsidRPr="00507EAC">
        <w:rPr>
          <w:rFonts w:ascii="Times New Roman" w:eastAsia="Times New Roman" w:hAnsi="Times New Roman" w:cs="Times New Roman"/>
          <w:sz w:val="24"/>
          <w:szCs w:val="24"/>
          <w:lang w:val="de-DE"/>
        </w:rPr>
        <w:t xml:space="preserve"> 2, 38–62. https://doi.org/10.1007/BF02282469</w:t>
      </w:r>
    </w:p>
    <w:p w14:paraId="5902D74B" w14:textId="7777777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sidRPr="00507EAC">
        <w:rPr>
          <w:rFonts w:ascii="Times New Roman" w:eastAsia="Times New Roman" w:hAnsi="Times New Roman" w:cs="Times New Roman"/>
          <w:sz w:val="24"/>
          <w:szCs w:val="24"/>
          <w:lang w:val="de-DE"/>
        </w:rPr>
        <w:lastRenderedPageBreak/>
        <w:t>Stenalt</w:t>
      </w:r>
      <w:proofErr w:type="spellEnd"/>
      <w:r w:rsidRPr="00507EAC">
        <w:rPr>
          <w:rFonts w:ascii="Times New Roman" w:eastAsia="Times New Roman" w:hAnsi="Times New Roman" w:cs="Times New Roman"/>
          <w:sz w:val="24"/>
          <w:szCs w:val="24"/>
          <w:lang w:val="de-DE"/>
        </w:rPr>
        <w:t xml:space="preserve">, M. H. &amp; </w:t>
      </w:r>
      <w:proofErr w:type="spellStart"/>
      <w:r w:rsidRPr="00507EAC">
        <w:rPr>
          <w:rFonts w:ascii="Times New Roman" w:eastAsia="Times New Roman" w:hAnsi="Times New Roman" w:cs="Times New Roman"/>
          <w:sz w:val="24"/>
          <w:szCs w:val="24"/>
          <w:lang w:val="de-DE"/>
        </w:rPr>
        <w:t>Lassesen</w:t>
      </w:r>
      <w:proofErr w:type="spellEnd"/>
      <w:r w:rsidRPr="00507EAC">
        <w:rPr>
          <w:rFonts w:ascii="Times New Roman" w:eastAsia="Times New Roman" w:hAnsi="Times New Roman" w:cs="Times New Roman"/>
          <w:sz w:val="24"/>
          <w:szCs w:val="24"/>
          <w:lang w:val="de-DE"/>
        </w:rPr>
        <w:t xml:space="preserve">, B. (2021). </w:t>
      </w:r>
      <w:r>
        <w:rPr>
          <w:rFonts w:ascii="Times New Roman" w:eastAsia="Times New Roman" w:hAnsi="Times New Roman" w:cs="Times New Roman"/>
          <w:sz w:val="24"/>
          <w:szCs w:val="24"/>
        </w:rPr>
        <w:t xml:space="preserve">Does student agency benefit student learning? A systematic review of higher education research, </w:t>
      </w:r>
      <w:r>
        <w:rPr>
          <w:rFonts w:ascii="Times New Roman" w:eastAsia="Times New Roman" w:hAnsi="Times New Roman" w:cs="Times New Roman"/>
          <w:i/>
          <w:sz w:val="24"/>
          <w:szCs w:val="24"/>
        </w:rPr>
        <w:t>Assessment &amp; Evaluation in Higher Education</w:t>
      </w:r>
      <w:r>
        <w:rPr>
          <w:rFonts w:ascii="Times New Roman" w:eastAsia="Times New Roman" w:hAnsi="Times New Roman" w:cs="Times New Roman"/>
          <w:sz w:val="24"/>
          <w:szCs w:val="24"/>
        </w:rPr>
        <w:t>, DOI: 10.1080/02602938.2021.1967874</w:t>
      </w:r>
    </w:p>
    <w:p w14:paraId="5D0A4065"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Stevenson, J. &amp; S. Clegg (2011). Possible selves: students orientating themselves towards the future through extracurricular activity, </w:t>
      </w:r>
      <w:r>
        <w:rPr>
          <w:rFonts w:ascii="Times New Roman" w:eastAsia="Times New Roman" w:hAnsi="Times New Roman" w:cs="Times New Roman"/>
          <w:i/>
          <w:sz w:val="24"/>
          <w:szCs w:val="24"/>
        </w:rPr>
        <w:t>British Educational Research Journal</w:t>
      </w:r>
      <w:r>
        <w:rPr>
          <w:rFonts w:ascii="Times New Roman" w:eastAsia="Times New Roman" w:hAnsi="Times New Roman" w:cs="Times New Roman"/>
          <w:sz w:val="24"/>
          <w:szCs w:val="24"/>
        </w:rPr>
        <w:t>, 37:2, 231-246, DOI: 10.1080/01411920903540672</w:t>
      </w:r>
    </w:p>
    <w:p w14:paraId="5A0BE205" w14:textId="57586B4C" w:rsidR="008264E0" w:rsidRDefault="008264E0" w:rsidP="0036425F">
      <w:pPr>
        <w:spacing w:after="100"/>
        <w:ind w:left="720" w:hanging="720"/>
        <w:jc w:val="both"/>
        <w:rPr>
          <w:rFonts w:ascii="Times New Roman" w:eastAsia="Times New Roman" w:hAnsi="Times New Roman" w:cs="Times New Roman"/>
          <w:sz w:val="24"/>
          <w:szCs w:val="24"/>
        </w:rPr>
      </w:pPr>
      <w:r w:rsidRPr="008264E0">
        <w:rPr>
          <w:rFonts w:ascii="Times New Roman" w:eastAsia="Times New Roman" w:hAnsi="Times New Roman" w:cs="Times New Roman"/>
          <w:sz w:val="24"/>
          <w:szCs w:val="24"/>
        </w:rPr>
        <w:t>Stevenson, J. (2012)</w:t>
      </w:r>
      <w:r>
        <w:rPr>
          <w:rFonts w:ascii="Times New Roman" w:eastAsia="Times New Roman" w:hAnsi="Times New Roman" w:cs="Times New Roman"/>
          <w:sz w:val="24"/>
          <w:szCs w:val="24"/>
        </w:rPr>
        <w:t>.</w:t>
      </w:r>
      <w:r w:rsidRPr="008264E0">
        <w:rPr>
          <w:rFonts w:ascii="Times New Roman" w:eastAsia="Times New Roman" w:hAnsi="Times New Roman" w:cs="Times New Roman"/>
          <w:sz w:val="24"/>
          <w:szCs w:val="24"/>
        </w:rPr>
        <w:t xml:space="preserve"> Black and Minority Ethnic Student Degree Retention and Attainment, Higher Education Academy: York</w:t>
      </w:r>
    </w:p>
    <w:p w14:paraId="7CC31F43" w14:textId="357EBE87" w:rsidR="00170769" w:rsidRDefault="009928A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Swidler</w:t>
      </w:r>
      <w:proofErr w:type="spellEnd"/>
      <w:r w:rsidR="00BF3419">
        <w:rPr>
          <w:rFonts w:ascii="Times New Roman" w:eastAsia="Times New Roman" w:hAnsi="Times New Roman" w:cs="Times New Roman"/>
          <w:sz w:val="24"/>
          <w:szCs w:val="24"/>
        </w:rPr>
        <w:t xml:space="preserve">, A. (1986). Culture in Action: Symbols and Strategies. </w:t>
      </w:r>
      <w:r w:rsidR="00BF3419">
        <w:rPr>
          <w:rFonts w:ascii="Times New Roman" w:eastAsia="Times New Roman" w:hAnsi="Times New Roman" w:cs="Times New Roman"/>
          <w:i/>
          <w:sz w:val="24"/>
          <w:szCs w:val="24"/>
        </w:rPr>
        <w:t>American Sociological Review</w:t>
      </w:r>
      <w:r w:rsidR="00BF3419">
        <w:rPr>
          <w:rFonts w:ascii="Times New Roman" w:eastAsia="Times New Roman" w:hAnsi="Times New Roman" w:cs="Times New Roman"/>
          <w:sz w:val="24"/>
          <w:szCs w:val="24"/>
        </w:rPr>
        <w:t>, 51(2), 273–286.</w:t>
      </w:r>
      <w:hyperlink r:id="rId25">
        <w:r w:rsidR="00BF3419">
          <w:rPr>
            <w:rFonts w:ascii="Times New Roman" w:eastAsia="Times New Roman" w:hAnsi="Times New Roman" w:cs="Times New Roman"/>
            <w:sz w:val="24"/>
            <w:szCs w:val="24"/>
          </w:rPr>
          <w:t xml:space="preserve"> </w:t>
        </w:r>
      </w:hyperlink>
      <w:hyperlink r:id="rId26">
        <w:r w:rsidR="00BF3419">
          <w:rPr>
            <w:rFonts w:ascii="Times New Roman" w:eastAsia="Times New Roman" w:hAnsi="Times New Roman" w:cs="Times New Roman"/>
            <w:sz w:val="24"/>
            <w:szCs w:val="24"/>
            <w:u w:val="single"/>
          </w:rPr>
          <w:t>https://doi.org/10.2307/2095521</w:t>
        </w:r>
      </w:hyperlink>
      <w:r w:rsidR="00BF3419">
        <w:rPr>
          <w:rFonts w:ascii="Times New Roman" w:eastAsia="Times New Roman" w:hAnsi="Times New Roman" w:cs="Times New Roman"/>
          <w:sz w:val="24"/>
          <w:szCs w:val="24"/>
        </w:rPr>
        <w:t xml:space="preserve"> </w:t>
      </w:r>
    </w:p>
    <w:p w14:paraId="4A8F60F1" w14:textId="77777777" w:rsidR="009928A9" w:rsidRDefault="00BF3419" w:rsidP="009928A9">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Tinto, V. (1975). Dropout from higher education: a theoretical synthesis of recent research. Review of Educational Research, 45 (1): 89-125. </w:t>
      </w:r>
      <w:hyperlink r:id="rId27">
        <w:r>
          <w:rPr>
            <w:rFonts w:ascii="Times New Roman" w:eastAsia="Times New Roman" w:hAnsi="Times New Roman" w:cs="Times New Roman"/>
            <w:sz w:val="24"/>
            <w:szCs w:val="24"/>
            <w:u w:val="single"/>
          </w:rPr>
          <w:t>https://doi.org/10.3102/00346543045001089</w:t>
        </w:r>
      </w:hyperlink>
      <w:r>
        <w:rPr>
          <w:rFonts w:ascii="Times New Roman" w:eastAsia="Times New Roman" w:hAnsi="Times New Roman" w:cs="Times New Roman"/>
          <w:sz w:val="24"/>
          <w:szCs w:val="24"/>
        </w:rPr>
        <w:t xml:space="preserve"> </w:t>
      </w:r>
    </w:p>
    <w:p w14:paraId="5062D654" w14:textId="1C9CE87A" w:rsidR="009928A9" w:rsidRDefault="009928A9" w:rsidP="009928A9">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Walker, M., &amp; McLean, M. (2013). </w:t>
      </w:r>
      <w:r>
        <w:rPr>
          <w:rFonts w:ascii="Times New Roman" w:eastAsia="Times New Roman" w:hAnsi="Times New Roman" w:cs="Times New Roman"/>
          <w:i/>
          <w:sz w:val="24"/>
          <w:szCs w:val="24"/>
        </w:rPr>
        <w:t>Professional education, capabilities and the public good. The role of universities in promoting human development</w:t>
      </w:r>
      <w:r>
        <w:rPr>
          <w:rFonts w:ascii="Times New Roman" w:eastAsia="Times New Roman" w:hAnsi="Times New Roman" w:cs="Times New Roman"/>
          <w:sz w:val="24"/>
          <w:szCs w:val="24"/>
        </w:rPr>
        <w:t>. London: Routledge.</w:t>
      </w:r>
    </w:p>
    <w:p w14:paraId="44440E89" w14:textId="58A86CCD"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Wilson-Strydom, M., and M. Walker (2015). A Capabilities-Friendly </w:t>
      </w:r>
      <w:proofErr w:type="spellStart"/>
      <w:r>
        <w:rPr>
          <w:rFonts w:ascii="Times New Roman" w:eastAsia="Times New Roman" w:hAnsi="Times New Roman" w:cs="Times New Roman"/>
          <w:sz w:val="24"/>
          <w:szCs w:val="24"/>
        </w:rPr>
        <w:t>Conceptualisation</w:t>
      </w:r>
      <w:proofErr w:type="spellEnd"/>
      <w:r>
        <w:rPr>
          <w:rFonts w:ascii="Times New Roman" w:eastAsia="Times New Roman" w:hAnsi="Times New Roman" w:cs="Times New Roman"/>
          <w:sz w:val="24"/>
          <w:szCs w:val="24"/>
        </w:rPr>
        <w:t xml:space="preserve"> of Flourishing in and Through Education. </w:t>
      </w:r>
      <w:r>
        <w:rPr>
          <w:rFonts w:ascii="Times New Roman" w:eastAsia="Times New Roman" w:hAnsi="Times New Roman" w:cs="Times New Roman"/>
          <w:i/>
          <w:sz w:val="24"/>
          <w:szCs w:val="24"/>
        </w:rPr>
        <w:t>Journal of Moral Education 44</w:t>
      </w:r>
      <w:r>
        <w:rPr>
          <w:rFonts w:ascii="Times New Roman" w:eastAsia="Times New Roman" w:hAnsi="Times New Roman" w:cs="Times New Roman"/>
          <w:sz w:val="24"/>
          <w:szCs w:val="24"/>
        </w:rPr>
        <w:t xml:space="preserve"> (3): 310–324.</w:t>
      </w:r>
    </w:p>
    <w:p w14:paraId="34E827EA"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Zimmerman, B. J. (2002). Becoming a Self-Regulated Learner: An Overview, </w:t>
      </w:r>
      <w:r>
        <w:rPr>
          <w:rFonts w:ascii="Times New Roman" w:eastAsia="Times New Roman" w:hAnsi="Times New Roman" w:cs="Times New Roman"/>
          <w:i/>
          <w:sz w:val="24"/>
          <w:szCs w:val="24"/>
        </w:rPr>
        <w:t>Theory Into Practice</w:t>
      </w:r>
      <w:r>
        <w:rPr>
          <w:rFonts w:ascii="Times New Roman" w:eastAsia="Times New Roman" w:hAnsi="Times New Roman" w:cs="Times New Roman"/>
          <w:sz w:val="24"/>
          <w:szCs w:val="24"/>
        </w:rPr>
        <w:t xml:space="preserve">, 41:2, 64-70, https://doi.org/10.1207/s15430421tip4102_2 </w:t>
      </w:r>
    </w:p>
    <w:p w14:paraId="495001C5"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Zimmerman, B.J. (2008). Investigating self-regulation and motivation: Historical background, methodological developments, and future prospects. </w:t>
      </w:r>
      <w:r>
        <w:rPr>
          <w:rFonts w:ascii="Times New Roman" w:eastAsia="Times New Roman" w:hAnsi="Times New Roman" w:cs="Times New Roman"/>
          <w:i/>
          <w:sz w:val="24"/>
          <w:szCs w:val="24"/>
        </w:rPr>
        <w:t>American Educational Research Journal</w:t>
      </w:r>
      <w:r>
        <w:rPr>
          <w:rFonts w:ascii="Times New Roman" w:eastAsia="Times New Roman" w:hAnsi="Times New Roman" w:cs="Times New Roman"/>
          <w:sz w:val="24"/>
          <w:szCs w:val="24"/>
        </w:rPr>
        <w:t xml:space="preserve">, 45, 166 -183. https://doi.org/10.3102/0002831207312909 </w:t>
      </w:r>
    </w:p>
    <w:p w14:paraId="4E3736EE" w14:textId="77777777" w:rsidR="00170769" w:rsidRDefault="00170769" w:rsidP="0036425F">
      <w:pPr>
        <w:rPr>
          <w:rFonts w:ascii="Times New Roman" w:eastAsia="Times New Roman" w:hAnsi="Times New Roman" w:cs="Times New Roman"/>
          <w:sz w:val="24"/>
          <w:szCs w:val="24"/>
        </w:rPr>
      </w:pPr>
    </w:p>
    <w:sectPr w:rsidR="00170769">
      <w:footerReference w:type="even" r:id="rId28"/>
      <w:footerReference w:type="default" r:id="rId2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9E05" w14:textId="77777777" w:rsidR="00275730" w:rsidRDefault="00275730" w:rsidP="00507EAC">
      <w:pPr>
        <w:spacing w:line="240" w:lineRule="auto"/>
      </w:pPr>
      <w:r>
        <w:separator/>
      </w:r>
    </w:p>
  </w:endnote>
  <w:endnote w:type="continuationSeparator" w:id="0">
    <w:p w14:paraId="582B930C" w14:textId="77777777" w:rsidR="00275730" w:rsidRDefault="00275730" w:rsidP="00507E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5865655"/>
      <w:docPartObj>
        <w:docPartGallery w:val="Page Numbers (Bottom of Page)"/>
        <w:docPartUnique/>
      </w:docPartObj>
    </w:sdtPr>
    <w:sdtEndPr>
      <w:rPr>
        <w:rStyle w:val="PageNumber"/>
      </w:rPr>
    </w:sdtEndPr>
    <w:sdtContent>
      <w:p w14:paraId="58262A57" w14:textId="04305817" w:rsidR="00507EAC" w:rsidRDefault="00507EAC" w:rsidP="000655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142042" w14:textId="77777777" w:rsidR="00507EAC" w:rsidRDefault="00507EAC" w:rsidP="00507E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2426540"/>
      <w:docPartObj>
        <w:docPartGallery w:val="Page Numbers (Bottom of Page)"/>
        <w:docPartUnique/>
      </w:docPartObj>
    </w:sdtPr>
    <w:sdtEndPr>
      <w:rPr>
        <w:rStyle w:val="PageNumber"/>
      </w:rPr>
    </w:sdtEndPr>
    <w:sdtContent>
      <w:p w14:paraId="323891AF" w14:textId="32D69DFE" w:rsidR="00507EAC" w:rsidRDefault="00507EAC" w:rsidP="000655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14E240" w14:textId="77777777" w:rsidR="00507EAC" w:rsidRDefault="00507EAC" w:rsidP="00507E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B9B80" w14:textId="77777777" w:rsidR="00275730" w:rsidRDefault="00275730" w:rsidP="00507EAC">
      <w:pPr>
        <w:spacing w:line="240" w:lineRule="auto"/>
      </w:pPr>
      <w:r>
        <w:separator/>
      </w:r>
    </w:p>
  </w:footnote>
  <w:footnote w:type="continuationSeparator" w:id="0">
    <w:p w14:paraId="26CD4991" w14:textId="77777777" w:rsidR="00275730" w:rsidRDefault="00275730" w:rsidP="00507EA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69"/>
    <w:rsid w:val="0004759E"/>
    <w:rsid w:val="00055F3A"/>
    <w:rsid w:val="000626ED"/>
    <w:rsid w:val="000B4414"/>
    <w:rsid w:val="00143AB7"/>
    <w:rsid w:val="00161308"/>
    <w:rsid w:val="00170769"/>
    <w:rsid w:val="001A771B"/>
    <w:rsid w:val="001D12BB"/>
    <w:rsid w:val="00200689"/>
    <w:rsid w:val="00260B45"/>
    <w:rsid w:val="00275730"/>
    <w:rsid w:val="002939BE"/>
    <w:rsid w:val="00294A21"/>
    <w:rsid w:val="002A17AF"/>
    <w:rsid w:val="002A5BB1"/>
    <w:rsid w:val="003445C4"/>
    <w:rsid w:val="0036425F"/>
    <w:rsid w:val="00381325"/>
    <w:rsid w:val="00385C69"/>
    <w:rsid w:val="00403571"/>
    <w:rsid w:val="00474D60"/>
    <w:rsid w:val="00490A13"/>
    <w:rsid w:val="004B2B52"/>
    <w:rsid w:val="004B6A1D"/>
    <w:rsid w:val="00507EAC"/>
    <w:rsid w:val="00595F29"/>
    <w:rsid w:val="005A3734"/>
    <w:rsid w:val="005B5B93"/>
    <w:rsid w:val="005C7244"/>
    <w:rsid w:val="005E1BCE"/>
    <w:rsid w:val="005F24DC"/>
    <w:rsid w:val="00665109"/>
    <w:rsid w:val="00677334"/>
    <w:rsid w:val="006E3E93"/>
    <w:rsid w:val="00716595"/>
    <w:rsid w:val="007263A9"/>
    <w:rsid w:val="00731486"/>
    <w:rsid w:val="007A2EB9"/>
    <w:rsid w:val="007D0245"/>
    <w:rsid w:val="007F798F"/>
    <w:rsid w:val="0081608E"/>
    <w:rsid w:val="008264E0"/>
    <w:rsid w:val="00842578"/>
    <w:rsid w:val="00861870"/>
    <w:rsid w:val="00871B5B"/>
    <w:rsid w:val="00890FAD"/>
    <w:rsid w:val="008C0732"/>
    <w:rsid w:val="008E191C"/>
    <w:rsid w:val="00940631"/>
    <w:rsid w:val="00943C75"/>
    <w:rsid w:val="009602B2"/>
    <w:rsid w:val="009839E3"/>
    <w:rsid w:val="009928A9"/>
    <w:rsid w:val="009E222E"/>
    <w:rsid w:val="00A05711"/>
    <w:rsid w:val="00A06FF6"/>
    <w:rsid w:val="00A4073B"/>
    <w:rsid w:val="00AA587E"/>
    <w:rsid w:val="00AE1B66"/>
    <w:rsid w:val="00AF2CD7"/>
    <w:rsid w:val="00AF48E4"/>
    <w:rsid w:val="00B03E10"/>
    <w:rsid w:val="00B57146"/>
    <w:rsid w:val="00B658EF"/>
    <w:rsid w:val="00B670DB"/>
    <w:rsid w:val="00B80F88"/>
    <w:rsid w:val="00BF3419"/>
    <w:rsid w:val="00C344B5"/>
    <w:rsid w:val="00C51D4E"/>
    <w:rsid w:val="00C65F96"/>
    <w:rsid w:val="00C83C31"/>
    <w:rsid w:val="00CA54A5"/>
    <w:rsid w:val="00CB1802"/>
    <w:rsid w:val="00CB4816"/>
    <w:rsid w:val="00D332C0"/>
    <w:rsid w:val="00D444F4"/>
    <w:rsid w:val="00D45BA5"/>
    <w:rsid w:val="00D844F8"/>
    <w:rsid w:val="00D85BEB"/>
    <w:rsid w:val="00DC02D2"/>
    <w:rsid w:val="00DF5D72"/>
    <w:rsid w:val="00E25320"/>
    <w:rsid w:val="00E53975"/>
    <w:rsid w:val="00E55D66"/>
    <w:rsid w:val="00E73DB1"/>
    <w:rsid w:val="00E865E8"/>
    <w:rsid w:val="00E86863"/>
    <w:rsid w:val="00EB18C3"/>
    <w:rsid w:val="00EC2173"/>
    <w:rsid w:val="00ED269A"/>
    <w:rsid w:val="00ED66DA"/>
    <w:rsid w:val="00F03306"/>
    <w:rsid w:val="00F45C00"/>
    <w:rsid w:val="00FE1F9A"/>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739573C"/>
  <w15:docId w15:val="{189D4B03-4404-AA48-BD2B-19BB2055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507EAC"/>
    <w:pPr>
      <w:tabs>
        <w:tab w:val="center" w:pos="4513"/>
        <w:tab w:val="right" w:pos="9026"/>
      </w:tabs>
      <w:spacing w:line="240" w:lineRule="auto"/>
    </w:pPr>
  </w:style>
  <w:style w:type="character" w:customStyle="1" w:styleId="FooterChar">
    <w:name w:val="Footer Char"/>
    <w:basedOn w:val="DefaultParagraphFont"/>
    <w:link w:val="Footer"/>
    <w:uiPriority w:val="99"/>
    <w:rsid w:val="00507EAC"/>
  </w:style>
  <w:style w:type="character" w:styleId="PageNumber">
    <w:name w:val="page number"/>
    <w:basedOn w:val="DefaultParagraphFont"/>
    <w:uiPriority w:val="99"/>
    <w:semiHidden/>
    <w:unhideWhenUsed/>
    <w:rsid w:val="00507EAC"/>
  </w:style>
  <w:style w:type="character" w:styleId="CommentReference">
    <w:name w:val="annotation reference"/>
    <w:basedOn w:val="DefaultParagraphFont"/>
    <w:uiPriority w:val="99"/>
    <w:semiHidden/>
    <w:unhideWhenUsed/>
    <w:rsid w:val="00E86863"/>
    <w:rPr>
      <w:sz w:val="16"/>
      <w:szCs w:val="16"/>
    </w:rPr>
  </w:style>
  <w:style w:type="paragraph" w:styleId="CommentText">
    <w:name w:val="annotation text"/>
    <w:basedOn w:val="Normal"/>
    <w:link w:val="CommentTextChar"/>
    <w:uiPriority w:val="99"/>
    <w:unhideWhenUsed/>
    <w:rsid w:val="00E86863"/>
    <w:pPr>
      <w:spacing w:line="240" w:lineRule="auto"/>
    </w:pPr>
    <w:rPr>
      <w:sz w:val="20"/>
      <w:szCs w:val="20"/>
    </w:rPr>
  </w:style>
  <w:style w:type="character" w:customStyle="1" w:styleId="CommentTextChar">
    <w:name w:val="Comment Text Char"/>
    <w:basedOn w:val="DefaultParagraphFont"/>
    <w:link w:val="CommentText"/>
    <w:uiPriority w:val="99"/>
    <w:rsid w:val="00E86863"/>
    <w:rPr>
      <w:sz w:val="20"/>
      <w:szCs w:val="20"/>
    </w:rPr>
  </w:style>
  <w:style w:type="paragraph" w:styleId="CommentSubject">
    <w:name w:val="annotation subject"/>
    <w:basedOn w:val="CommentText"/>
    <w:next w:val="CommentText"/>
    <w:link w:val="CommentSubjectChar"/>
    <w:uiPriority w:val="99"/>
    <w:semiHidden/>
    <w:unhideWhenUsed/>
    <w:rsid w:val="00E86863"/>
    <w:rPr>
      <w:b/>
      <w:bCs/>
    </w:rPr>
  </w:style>
  <w:style w:type="character" w:customStyle="1" w:styleId="CommentSubjectChar">
    <w:name w:val="Comment Subject Char"/>
    <w:basedOn w:val="CommentTextChar"/>
    <w:link w:val="CommentSubject"/>
    <w:uiPriority w:val="99"/>
    <w:semiHidden/>
    <w:rsid w:val="00E86863"/>
    <w:rPr>
      <w:b/>
      <w:bCs/>
      <w:sz w:val="20"/>
      <w:szCs w:val="20"/>
    </w:rPr>
  </w:style>
  <w:style w:type="character" w:customStyle="1" w:styleId="Heading2Char">
    <w:name w:val="Heading 2 Char"/>
    <w:basedOn w:val="DefaultParagraphFont"/>
    <w:link w:val="Heading2"/>
    <w:uiPriority w:val="9"/>
    <w:rsid w:val="00CB1802"/>
    <w:rPr>
      <w:sz w:val="32"/>
      <w:szCs w:val="32"/>
    </w:rPr>
  </w:style>
  <w:style w:type="character" w:styleId="Hyperlink">
    <w:name w:val="Hyperlink"/>
    <w:basedOn w:val="DefaultParagraphFont"/>
    <w:uiPriority w:val="99"/>
    <w:unhideWhenUsed/>
    <w:rsid w:val="00861870"/>
    <w:rPr>
      <w:color w:val="0000FF" w:themeColor="hyperlink"/>
      <w:u w:val="single"/>
    </w:rPr>
  </w:style>
  <w:style w:type="character" w:styleId="UnresolvedMention">
    <w:name w:val="Unresolved Mention"/>
    <w:basedOn w:val="DefaultParagraphFont"/>
    <w:uiPriority w:val="99"/>
    <w:semiHidden/>
    <w:unhideWhenUsed/>
    <w:rsid w:val="00861870"/>
    <w:rPr>
      <w:color w:val="605E5C"/>
      <w:shd w:val="clear" w:color="auto" w:fill="E1DFDD"/>
    </w:rPr>
  </w:style>
  <w:style w:type="paragraph" w:styleId="Revision">
    <w:name w:val="Revision"/>
    <w:hidden/>
    <w:uiPriority w:val="99"/>
    <w:semiHidden/>
    <w:rsid w:val="008264E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15191">
      <w:bodyDiv w:val="1"/>
      <w:marLeft w:val="0"/>
      <w:marRight w:val="0"/>
      <w:marTop w:val="0"/>
      <w:marBottom w:val="0"/>
      <w:divBdr>
        <w:top w:val="none" w:sz="0" w:space="0" w:color="auto"/>
        <w:left w:val="none" w:sz="0" w:space="0" w:color="auto"/>
        <w:bottom w:val="none" w:sz="0" w:space="0" w:color="auto"/>
        <w:right w:val="none" w:sz="0" w:space="0" w:color="auto"/>
      </w:divBdr>
    </w:div>
    <w:div w:id="767503484">
      <w:bodyDiv w:val="1"/>
      <w:marLeft w:val="0"/>
      <w:marRight w:val="0"/>
      <w:marTop w:val="0"/>
      <w:marBottom w:val="0"/>
      <w:divBdr>
        <w:top w:val="none" w:sz="0" w:space="0" w:color="auto"/>
        <w:left w:val="none" w:sz="0" w:space="0" w:color="auto"/>
        <w:bottom w:val="none" w:sz="0" w:space="0" w:color="auto"/>
        <w:right w:val="none" w:sz="0" w:space="0" w:color="auto"/>
      </w:divBdr>
    </w:div>
    <w:div w:id="1130902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ezp-prod1.hul.harvard.edu/10.1080/09620210500200137" TargetMode="External"/><Relationship Id="rId13" Type="http://schemas.openxmlformats.org/officeDocument/2006/relationships/hyperlink" Target="https://data.europa.eu/doi/10.2766/67668" TargetMode="External"/><Relationship Id="rId18" Type="http://schemas.openxmlformats.org/officeDocument/2006/relationships/hyperlink" Target="https://doi.org/10.1007/978-1-137-45617-5_28" TargetMode="External"/><Relationship Id="rId26" Type="http://schemas.openxmlformats.org/officeDocument/2006/relationships/hyperlink" Target="https://doi.org/10.2307/2095521" TargetMode="External"/><Relationship Id="rId3" Type="http://schemas.openxmlformats.org/officeDocument/2006/relationships/webSettings" Target="webSettings.xml"/><Relationship Id="rId21" Type="http://schemas.openxmlformats.org/officeDocument/2006/relationships/hyperlink" Target="https://www.oecd.org/education/2030-project/teaching-and-learning/learning/student-agency/" TargetMode="External"/><Relationship Id="rId7" Type="http://schemas.openxmlformats.org/officeDocument/2006/relationships/hyperlink" Target="https://doi-org.ezp-prod1.hul.harvard.edu/10.1080/09620210500200137" TargetMode="External"/><Relationship Id="rId12" Type="http://schemas.openxmlformats.org/officeDocument/2006/relationships/hyperlink" Target="https://data.europa.eu/doi/10.2766/67668" TargetMode="External"/><Relationship Id="rId17" Type="http://schemas.openxmlformats.org/officeDocument/2006/relationships/hyperlink" Target="https://doi.org/10.4324/9780429259371-7" TargetMode="External"/><Relationship Id="rId25" Type="http://schemas.openxmlformats.org/officeDocument/2006/relationships/hyperlink" Target="https://doi.org/10.2307/2095521" TargetMode="External"/><Relationship Id="rId2" Type="http://schemas.openxmlformats.org/officeDocument/2006/relationships/settings" Target="settings.xml"/><Relationship Id="rId16" Type="http://schemas.openxmlformats.org/officeDocument/2006/relationships/hyperlink" Target="https://doi.org/10.4324/9780429259371-7" TargetMode="External"/><Relationship Id="rId20" Type="http://schemas.openxmlformats.org/officeDocument/2006/relationships/hyperlink" Target="https://www.oecd.org/education/2030-project/teaching-and-learning/learning/student-agency/"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education.ec.europa.eu/document/commission-communication-on-a-european-strategy-for-universities" TargetMode="External"/><Relationship Id="rId24" Type="http://schemas.openxmlformats.org/officeDocument/2006/relationships/hyperlink" Target="https://doi.org/10.4159/9780674054578-013" TargetMode="External"/><Relationship Id="rId5" Type="http://schemas.openxmlformats.org/officeDocument/2006/relationships/endnotes" Target="endnotes.xml"/><Relationship Id="rId15" Type="http://schemas.openxmlformats.org/officeDocument/2006/relationships/hyperlink" Target="https://doi.org/10.1007/978-3-030-53187-4_54" TargetMode="External"/><Relationship Id="rId23" Type="http://schemas.openxmlformats.org/officeDocument/2006/relationships/hyperlink" Target="https://doi.org/10.4159/9780674054578-013" TargetMode="External"/><Relationship Id="rId28" Type="http://schemas.openxmlformats.org/officeDocument/2006/relationships/footer" Target="footer1.xml"/><Relationship Id="rId10" Type="http://schemas.openxmlformats.org/officeDocument/2006/relationships/hyperlink" Target="https://education.ec.europa.eu/document/commission-communication-on-a-european-strategy-for-universities" TargetMode="External"/><Relationship Id="rId19" Type="http://schemas.openxmlformats.org/officeDocument/2006/relationships/hyperlink" Target="https://doi.org/10.1007/978-1-137-45617-5_28"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1037/0022-3514.92.6.1087" TargetMode="External"/><Relationship Id="rId14" Type="http://schemas.openxmlformats.org/officeDocument/2006/relationships/hyperlink" Target="https://doi.org/10.1007/978-3-030-53187-4_54" TargetMode="External"/><Relationship Id="rId22" Type="http://schemas.openxmlformats.org/officeDocument/2006/relationships/hyperlink" Target="https://doi.org/10.1037/mot0000194" TargetMode="External"/><Relationship Id="rId27" Type="http://schemas.openxmlformats.org/officeDocument/2006/relationships/hyperlink" Target="https://doi.org/10.3102/0034654304500108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22</Pages>
  <Words>9516</Words>
  <Characters>54243</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Klemencic, Manja</cp:lastModifiedBy>
  <cp:revision>11</cp:revision>
  <dcterms:created xsi:type="dcterms:W3CDTF">2022-06-18T17:20:00Z</dcterms:created>
  <dcterms:modified xsi:type="dcterms:W3CDTF">2022-06-20T01:28:00Z</dcterms:modified>
</cp:coreProperties>
</file>