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7905C" w14:textId="77777777" w:rsidR="008F0351" w:rsidRDefault="008F0351" w:rsidP="008F0351">
      <w:pPr>
        <w:pStyle w:val="Heading1"/>
        <w:pBdr>
          <w:top w:val="single" w:sz="4" w:space="1" w:color="auto"/>
          <w:left w:val="single" w:sz="4" w:space="4" w:color="auto"/>
          <w:bottom w:val="single" w:sz="4" w:space="1" w:color="auto"/>
          <w:right w:val="single" w:sz="4" w:space="4" w:color="auto"/>
        </w:pBdr>
        <w:spacing w:before="0" w:after="100" w:afterAutospacing="1"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 xml:space="preserve">Submission version (accepted for publication): </w:t>
      </w:r>
    </w:p>
    <w:p w14:paraId="0A6454C7" w14:textId="1C9FF0C3" w:rsidR="008F0351" w:rsidRDefault="008F0351" w:rsidP="008F0351">
      <w:pPr>
        <w:pStyle w:val="Heading1"/>
        <w:pBdr>
          <w:top w:val="single" w:sz="4" w:space="1" w:color="auto"/>
          <w:left w:val="single" w:sz="4" w:space="4" w:color="auto"/>
          <w:bottom w:val="single" w:sz="4" w:space="1" w:color="auto"/>
          <w:right w:val="single" w:sz="4" w:space="4" w:color="auto"/>
        </w:pBdr>
        <w:spacing w:before="0" w:after="100" w:afterAutospacing="1" w:line="240" w:lineRule="auto"/>
        <w:jc w:val="both"/>
        <w:rPr>
          <w:rFonts w:ascii="Times New Roman" w:hAnsi="Times New Roman"/>
          <w:color w:val="auto"/>
          <w:sz w:val="24"/>
          <w:szCs w:val="24"/>
          <w:lang w:val="en-US"/>
        </w:rPr>
      </w:pPr>
      <w:r>
        <w:rPr>
          <w:rFonts w:ascii="Times New Roman" w:hAnsi="Times New Roman"/>
          <w:color w:val="auto"/>
          <w:sz w:val="24"/>
          <w:szCs w:val="24"/>
          <w:lang w:val="en-US"/>
        </w:rPr>
        <w:t>Klemenčič, M. and P. Zgaga. forthcoming. “</w:t>
      </w:r>
      <w:r w:rsidRPr="008F0351">
        <w:rPr>
          <w:rFonts w:ascii="Times New Roman" w:hAnsi="Times New Roman"/>
          <w:color w:val="auto"/>
          <w:sz w:val="24"/>
          <w:szCs w:val="24"/>
          <w:lang w:val="en-US"/>
        </w:rPr>
        <w:t>Public-private dynamics in higher education in the Western Balkans: are governments levelling the playing field?</w:t>
      </w:r>
      <w:r>
        <w:rPr>
          <w:rFonts w:ascii="Times New Roman" w:hAnsi="Times New Roman"/>
          <w:color w:val="auto"/>
          <w:sz w:val="24"/>
          <w:szCs w:val="24"/>
          <w:lang w:val="en-US"/>
        </w:rPr>
        <w:t xml:space="preserve">”. </w:t>
      </w:r>
      <w:r w:rsidRPr="008F0351">
        <w:rPr>
          <w:rFonts w:ascii="Times New Roman" w:hAnsi="Times New Roman"/>
          <w:i/>
          <w:color w:val="auto"/>
          <w:sz w:val="24"/>
          <w:szCs w:val="24"/>
          <w:lang w:val="en-US"/>
        </w:rPr>
        <w:t>European Education</w:t>
      </w:r>
      <w:r w:rsidR="00FA4DA8">
        <w:rPr>
          <w:rFonts w:ascii="Times New Roman" w:hAnsi="Times New Roman"/>
          <w:i/>
          <w:color w:val="auto"/>
          <w:sz w:val="24"/>
          <w:szCs w:val="24"/>
          <w:lang w:val="en-US"/>
        </w:rPr>
        <w:t xml:space="preserve"> Volume 46, Number 4.</w:t>
      </w:r>
      <w:bookmarkStart w:id="0" w:name="_GoBack"/>
      <w:bookmarkEnd w:id="0"/>
    </w:p>
    <w:p w14:paraId="1908B1C8" w14:textId="77777777" w:rsidR="00582D6F" w:rsidRPr="007D4016" w:rsidRDefault="002962A3" w:rsidP="00582D6F">
      <w:pPr>
        <w:pStyle w:val="Heading1"/>
        <w:spacing w:before="0" w:after="100" w:afterAutospacing="1" w:line="240" w:lineRule="auto"/>
        <w:jc w:val="both"/>
        <w:rPr>
          <w:rFonts w:ascii="Times New Roman" w:hAnsi="Times New Roman"/>
          <w:color w:val="auto"/>
          <w:sz w:val="24"/>
          <w:szCs w:val="24"/>
          <w:lang w:val="en-US"/>
        </w:rPr>
      </w:pPr>
      <w:r w:rsidRPr="007D4016">
        <w:rPr>
          <w:rFonts w:ascii="Times New Roman" w:hAnsi="Times New Roman"/>
          <w:color w:val="auto"/>
          <w:sz w:val="24"/>
          <w:szCs w:val="24"/>
          <w:lang w:val="en-US"/>
        </w:rPr>
        <w:t xml:space="preserve">Public-private dynamics in </w:t>
      </w:r>
      <w:r w:rsidR="00993D16" w:rsidRPr="007D4016">
        <w:rPr>
          <w:rFonts w:ascii="Times New Roman" w:hAnsi="Times New Roman"/>
          <w:color w:val="auto"/>
          <w:sz w:val="24"/>
          <w:szCs w:val="24"/>
          <w:lang w:val="en-US"/>
        </w:rPr>
        <w:t>higher education in the Western Balkans</w:t>
      </w:r>
      <w:r w:rsidR="00582D6F" w:rsidRPr="007D4016">
        <w:rPr>
          <w:rFonts w:ascii="Times New Roman" w:hAnsi="Times New Roman"/>
          <w:color w:val="auto"/>
          <w:sz w:val="24"/>
          <w:szCs w:val="24"/>
          <w:lang w:val="en-US"/>
        </w:rPr>
        <w:t xml:space="preserve">: </w:t>
      </w:r>
      <w:r w:rsidR="00E61863" w:rsidRPr="007D4016">
        <w:rPr>
          <w:rFonts w:ascii="Times New Roman" w:hAnsi="Times New Roman"/>
          <w:color w:val="auto"/>
          <w:sz w:val="24"/>
          <w:szCs w:val="24"/>
          <w:lang w:val="en-US"/>
        </w:rPr>
        <w:t xml:space="preserve">are governments </w:t>
      </w:r>
      <w:r w:rsidR="00582D6F" w:rsidRPr="007D4016">
        <w:rPr>
          <w:rFonts w:ascii="Times New Roman" w:hAnsi="Times New Roman"/>
          <w:color w:val="auto"/>
          <w:sz w:val="24"/>
          <w:szCs w:val="24"/>
          <w:lang w:val="en-US"/>
        </w:rPr>
        <w:t>levelling the playing field?</w:t>
      </w:r>
    </w:p>
    <w:p w14:paraId="7D991441" w14:textId="77777777" w:rsidR="00993D16" w:rsidRPr="007D4016" w:rsidRDefault="00993D16" w:rsidP="00691469">
      <w:pPr>
        <w:pStyle w:val="Heading1"/>
        <w:spacing w:before="0" w:line="240" w:lineRule="auto"/>
        <w:jc w:val="both"/>
        <w:rPr>
          <w:rFonts w:ascii="Times New Roman" w:hAnsi="Times New Roman"/>
          <w:color w:val="auto"/>
          <w:sz w:val="24"/>
          <w:szCs w:val="24"/>
          <w:lang w:val="en-US"/>
        </w:rPr>
      </w:pPr>
    </w:p>
    <w:p w14:paraId="74AAF034" w14:textId="77777777" w:rsidR="006D191A" w:rsidRDefault="00371015" w:rsidP="00467422">
      <w:pPr>
        <w:spacing w:after="0" w:line="240" w:lineRule="auto"/>
        <w:jc w:val="both"/>
        <w:rPr>
          <w:rFonts w:ascii="Times New Roman" w:hAnsi="Times New Roman"/>
          <w:sz w:val="24"/>
          <w:szCs w:val="24"/>
          <w:lang w:val="en-US"/>
        </w:rPr>
      </w:pPr>
      <w:r w:rsidRPr="007D4016">
        <w:rPr>
          <w:rFonts w:ascii="Times New Roman" w:hAnsi="Times New Roman"/>
          <w:sz w:val="24"/>
          <w:szCs w:val="24"/>
          <w:lang w:val="en-US"/>
        </w:rPr>
        <w:t>Manja Klemenčič</w:t>
      </w:r>
      <w:r w:rsidR="00467422">
        <w:rPr>
          <w:rFonts w:ascii="Times New Roman" w:hAnsi="Times New Roman"/>
          <w:sz w:val="24"/>
          <w:szCs w:val="24"/>
          <w:lang w:val="en-US"/>
        </w:rPr>
        <w:t xml:space="preserve"> and </w:t>
      </w:r>
      <w:r w:rsidRPr="007D4016">
        <w:rPr>
          <w:rFonts w:ascii="Times New Roman" w:hAnsi="Times New Roman"/>
          <w:sz w:val="24"/>
          <w:szCs w:val="24"/>
          <w:lang w:val="en-US"/>
        </w:rPr>
        <w:t>Pavel Zgaga</w:t>
      </w:r>
    </w:p>
    <w:p w14:paraId="5CCDFEFD" w14:textId="77777777" w:rsidR="00467422" w:rsidRPr="007D4016" w:rsidRDefault="00467422" w:rsidP="00467422">
      <w:pPr>
        <w:spacing w:after="0" w:line="240" w:lineRule="auto"/>
        <w:jc w:val="both"/>
        <w:rPr>
          <w:rFonts w:ascii="Times New Roman" w:eastAsia="Times New Roman" w:hAnsi="Times New Roman"/>
          <w:b/>
          <w:bCs/>
          <w:sz w:val="24"/>
          <w:szCs w:val="24"/>
          <w:lang w:val="en-US"/>
        </w:rPr>
      </w:pPr>
    </w:p>
    <w:p w14:paraId="65BC12BD" w14:textId="77777777" w:rsidR="00993D16" w:rsidRPr="007D4016" w:rsidRDefault="00993D16" w:rsidP="00691469">
      <w:pPr>
        <w:pStyle w:val="Heading1"/>
        <w:spacing w:before="0" w:after="100" w:afterAutospacing="1" w:line="240" w:lineRule="auto"/>
        <w:jc w:val="both"/>
        <w:rPr>
          <w:rFonts w:ascii="Times New Roman" w:hAnsi="Times New Roman"/>
          <w:color w:val="auto"/>
          <w:sz w:val="24"/>
          <w:szCs w:val="24"/>
          <w:lang w:val="en-US" w:eastAsia="en-GB"/>
        </w:rPr>
      </w:pPr>
      <w:r w:rsidRPr="007D4016">
        <w:rPr>
          <w:rFonts w:ascii="Times New Roman" w:hAnsi="Times New Roman"/>
          <w:color w:val="auto"/>
          <w:sz w:val="24"/>
          <w:szCs w:val="24"/>
          <w:lang w:val="en-US" w:eastAsia="en-GB"/>
        </w:rPr>
        <w:t>Abstract</w:t>
      </w:r>
    </w:p>
    <w:p w14:paraId="7B27CCE6" w14:textId="610C0930" w:rsidR="006C740D" w:rsidRPr="007D4016" w:rsidRDefault="006D191A" w:rsidP="00691469">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The article analyses the public-private dynamic</w:t>
      </w:r>
      <w:r w:rsidR="003B1A25" w:rsidRPr="007D4016">
        <w:rPr>
          <w:rFonts w:ascii="Times New Roman" w:hAnsi="Times New Roman"/>
          <w:sz w:val="24"/>
          <w:szCs w:val="24"/>
          <w:lang w:val="en-US" w:eastAsia="en-GB"/>
        </w:rPr>
        <w:t>s</w:t>
      </w:r>
      <w:r w:rsidRPr="007D4016">
        <w:rPr>
          <w:rFonts w:ascii="Times New Roman" w:hAnsi="Times New Roman"/>
          <w:sz w:val="24"/>
          <w:szCs w:val="24"/>
          <w:lang w:val="en-US" w:eastAsia="en-GB"/>
        </w:rPr>
        <w:t xml:space="preserve"> in </w:t>
      </w:r>
      <w:r w:rsidR="009A72F4" w:rsidRPr="007D4016">
        <w:rPr>
          <w:rFonts w:ascii="Times New Roman" w:hAnsi="Times New Roman"/>
          <w:sz w:val="24"/>
          <w:szCs w:val="24"/>
          <w:lang w:val="en-US" w:eastAsia="en-GB"/>
        </w:rPr>
        <w:t xml:space="preserve">the </w:t>
      </w:r>
      <w:r w:rsidRPr="007D4016">
        <w:rPr>
          <w:rFonts w:ascii="Times New Roman" w:hAnsi="Times New Roman"/>
          <w:sz w:val="24"/>
          <w:szCs w:val="24"/>
          <w:lang w:val="en-US" w:eastAsia="en-GB"/>
        </w:rPr>
        <w:t xml:space="preserve">context of </w:t>
      </w:r>
      <w:r w:rsidR="00896111" w:rsidRPr="007D4016">
        <w:rPr>
          <w:rFonts w:ascii="Times New Roman" w:hAnsi="Times New Roman"/>
          <w:sz w:val="24"/>
          <w:szCs w:val="24"/>
          <w:lang w:val="en-US" w:eastAsia="en-GB"/>
        </w:rPr>
        <w:t>eight</w:t>
      </w:r>
      <w:r w:rsidRPr="007D4016">
        <w:rPr>
          <w:rFonts w:ascii="Times New Roman" w:hAnsi="Times New Roman"/>
          <w:sz w:val="24"/>
          <w:szCs w:val="24"/>
          <w:lang w:val="en-US" w:eastAsia="en-GB"/>
        </w:rPr>
        <w:t xml:space="preserve"> Western Balkan countries</w:t>
      </w:r>
      <w:r w:rsidR="00896111" w:rsidRPr="007D4016">
        <w:rPr>
          <w:rFonts w:ascii="Times New Roman" w:hAnsi="Times New Roman"/>
          <w:sz w:val="24"/>
          <w:szCs w:val="24"/>
          <w:lang w:val="en-US" w:eastAsia="en-GB"/>
        </w:rPr>
        <w:t xml:space="preserve"> (Albania, Bosnia and Herzegovina, Croatia, Former Yugoslav Republic of Macedonia, Kosovo, Montenegro, Serbia and Slovenia)</w:t>
      </w:r>
      <w:r w:rsidRPr="007D4016">
        <w:rPr>
          <w:rFonts w:ascii="Times New Roman" w:hAnsi="Times New Roman"/>
          <w:sz w:val="24"/>
          <w:szCs w:val="24"/>
          <w:lang w:val="en-US" w:eastAsia="en-GB"/>
        </w:rPr>
        <w:t xml:space="preserve">. </w:t>
      </w:r>
      <w:r w:rsidR="003F18C9">
        <w:rPr>
          <w:rFonts w:ascii="Times New Roman" w:hAnsi="Times New Roman"/>
          <w:sz w:val="24"/>
          <w:szCs w:val="24"/>
          <w:lang w:val="en-US" w:eastAsia="en-GB"/>
        </w:rPr>
        <w:t xml:space="preserve">This article examines </w:t>
      </w:r>
      <w:r w:rsidR="00A30812" w:rsidRPr="007D4016">
        <w:rPr>
          <w:rFonts w:ascii="Times New Roman" w:hAnsi="Times New Roman"/>
          <w:sz w:val="24"/>
          <w:szCs w:val="24"/>
          <w:lang w:val="en-US" w:eastAsia="en-GB"/>
        </w:rPr>
        <w:t>whether and to what extent these governments “level the playing field” between private and public higher education providers; not in the sense that they have equal chances to succeed, but that they all play by the same set of rules and are able to compete fairly.</w:t>
      </w:r>
      <w:r w:rsidR="00E61863" w:rsidRPr="007D4016">
        <w:rPr>
          <w:rFonts w:ascii="Times New Roman" w:hAnsi="Times New Roman"/>
          <w:sz w:val="24"/>
          <w:szCs w:val="24"/>
          <w:lang w:val="en-US" w:eastAsia="en-GB"/>
        </w:rPr>
        <w:t xml:space="preserve"> </w:t>
      </w:r>
      <w:r w:rsidR="00896111" w:rsidRPr="007D4016">
        <w:rPr>
          <w:rFonts w:ascii="Times New Roman" w:hAnsi="Times New Roman"/>
          <w:sz w:val="24"/>
          <w:szCs w:val="24"/>
          <w:lang w:val="en-US" w:eastAsia="en-GB"/>
        </w:rPr>
        <w:t xml:space="preserve">The article </w:t>
      </w:r>
      <w:r w:rsidR="006F6B60" w:rsidRPr="007D4016">
        <w:rPr>
          <w:rFonts w:ascii="Times New Roman" w:hAnsi="Times New Roman"/>
          <w:sz w:val="24"/>
          <w:szCs w:val="24"/>
          <w:lang w:val="en-US" w:eastAsia="en-GB"/>
        </w:rPr>
        <w:t>first addresses</w:t>
      </w:r>
      <w:r w:rsidR="00896111" w:rsidRPr="007D4016">
        <w:rPr>
          <w:rFonts w:ascii="Times New Roman" w:hAnsi="Times New Roman"/>
          <w:sz w:val="24"/>
          <w:szCs w:val="24"/>
          <w:lang w:val="en-US" w:eastAsia="en-GB"/>
        </w:rPr>
        <w:t xml:space="preserve"> the emergence of </w:t>
      </w:r>
      <w:r w:rsidR="009A72F4" w:rsidRPr="007D4016">
        <w:rPr>
          <w:rFonts w:ascii="Times New Roman" w:hAnsi="Times New Roman"/>
          <w:sz w:val="24"/>
          <w:szCs w:val="24"/>
          <w:lang w:val="en-US" w:eastAsia="en-GB"/>
        </w:rPr>
        <w:t xml:space="preserve">a </w:t>
      </w:r>
      <w:r w:rsidR="00896111" w:rsidRPr="007D4016">
        <w:rPr>
          <w:rFonts w:ascii="Times New Roman" w:hAnsi="Times New Roman"/>
          <w:sz w:val="24"/>
          <w:szCs w:val="24"/>
          <w:lang w:val="en-US" w:eastAsia="en-GB"/>
        </w:rPr>
        <w:t xml:space="preserve">private higher education sector and the </w:t>
      </w:r>
      <w:r w:rsidR="00B74A19" w:rsidRPr="007D4016">
        <w:rPr>
          <w:rFonts w:ascii="Times New Roman" w:hAnsi="Times New Roman"/>
          <w:sz w:val="24"/>
          <w:szCs w:val="24"/>
          <w:lang w:val="en-US" w:eastAsia="en-GB"/>
        </w:rPr>
        <w:t>access</w:t>
      </w:r>
      <w:r w:rsidR="00896111" w:rsidRPr="007D4016">
        <w:rPr>
          <w:rFonts w:ascii="Times New Roman" w:hAnsi="Times New Roman"/>
          <w:sz w:val="24"/>
          <w:szCs w:val="24"/>
          <w:lang w:val="en-US" w:eastAsia="en-GB"/>
        </w:rPr>
        <w:t xml:space="preserve"> of this secto</w:t>
      </w:r>
      <w:r w:rsidR="006F6B60" w:rsidRPr="007D4016">
        <w:rPr>
          <w:rFonts w:ascii="Times New Roman" w:hAnsi="Times New Roman"/>
          <w:sz w:val="24"/>
          <w:szCs w:val="24"/>
          <w:lang w:val="en-US" w:eastAsia="en-GB"/>
        </w:rPr>
        <w:t xml:space="preserve">r to public resources. Next, </w:t>
      </w:r>
      <w:r w:rsidR="00A30812" w:rsidRPr="007D4016">
        <w:rPr>
          <w:rFonts w:ascii="Times New Roman" w:hAnsi="Times New Roman"/>
          <w:sz w:val="24"/>
          <w:szCs w:val="24"/>
          <w:lang w:val="en-US" w:eastAsia="en-GB"/>
        </w:rPr>
        <w:t>it</w:t>
      </w:r>
      <w:r w:rsidR="006F6B60" w:rsidRPr="007D4016">
        <w:rPr>
          <w:rFonts w:ascii="Times New Roman" w:hAnsi="Times New Roman"/>
          <w:sz w:val="24"/>
          <w:szCs w:val="24"/>
          <w:lang w:val="en-US" w:eastAsia="en-GB"/>
        </w:rPr>
        <w:t xml:space="preserve"> discuss</w:t>
      </w:r>
      <w:r w:rsidR="00A30812" w:rsidRPr="007D4016">
        <w:rPr>
          <w:rFonts w:ascii="Times New Roman" w:hAnsi="Times New Roman"/>
          <w:sz w:val="24"/>
          <w:szCs w:val="24"/>
          <w:lang w:val="en-US" w:eastAsia="en-GB"/>
        </w:rPr>
        <w:t>es</w:t>
      </w:r>
      <w:r w:rsidR="00896111" w:rsidRPr="007D4016">
        <w:rPr>
          <w:rFonts w:ascii="Times New Roman" w:hAnsi="Times New Roman"/>
          <w:sz w:val="24"/>
          <w:szCs w:val="24"/>
          <w:lang w:val="en-US" w:eastAsia="en-GB"/>
        </w:rPr>
        <w:t xml:space="preserve"> the extent of “</w:t>
      </w:r>
      <w:r w:rsidR="007D4016" w:rsidRPr="007D4016">
        <w:rPr>
          <w:rFonts w:ascii="Times New Roman" w:hAnsi="Times New Roman"/>
          <w:sz w:val="24"/>
          <w:szCs w:val="24"/>
          <w:lang w:val="en-US" w:eastAsia="en-GB"/>
        </w:rPr>
        <w:t>privatization</w:t>
      </w:r>
      <w:r w:rsidR="00896111" w:rsidRPr="007D4016">
        <w:rPr>
          <w:rFonts w:ascii="Times New Roman" w:hAnsi="Times New Roman"/>
          <w:sz w:val="24"/>
          <w:szCs w:val="24"/>
          <w:lang w:val="en-US" w:eastAsia="en-GB"/>
        </w:rPr>
        <w:t xml:space="preserve">” of public higher education institutions </w:t>
      </w:r>
      <w:r w:rsidR="00A30812" w:rsidRPr="007D4016">
        <w:rPr>
          <w:rFonts w:ascii="Times New Roman" w:hAnsi="Times New Roman"/>
          <w:sz w:val="24"/>
          <w:szCs w:val="24"/>
          <w:lang w:val="en-US" w:eastAsia="en-GB"/>
        </w:rPr>
        <w:t>and whether these are prompted to be more market-oriented</w:t>
      </w:r>
      <w:r w:rsidR="006C740D" w:rsidRPr="007D4016">
        <w:rPr>
          <w:rFonts w:ascii="Times New Roman" w:hAnsi="Times New Roman"/>
          <w:sz w:val="24"/>
          <w:szCs w:val="24"/>
          <w:lang w:val="en-US" w:eastAsia="en-GB"/>
        </w:rPr>
        <w:t xml:space="preserve">. </w:t>
      </w:r>
      <w:r w:rsidR="00E61863" w:rsidRPr="007D4016">
        <w:rPr>
          <w:rFonts w:ascii="Times New Roman" w:hAnsi="Times New Roman"/>
          <w:sz w:val="24"/>
          <w:szCs w:val="24"/>
          <w:lang w:val="en-US" w:eastAsia="en-GB"/>
        </w:rPr>
        <w:t xml:space="preserve">We find that the boundaries between the public and private sectors are blurred and the relations </w:t>
      </w:r>
      <w:r w:rsidR="00B74A19" w:rsidRPr="007D4016">
        <w:rPr>
          <w:rFonts w:ascii="Times New Roman" w:hAnsi="Times New Roman"/>
          <w:sz w:val="24"/>
          <w:szCs w:val="24"/>
          <w:lang w:val="en-US" w:eastAsia="en-GB"/>
        </w:rPr>
        <w:t>aggravated</w:t>
      </w:r>
      <w:r w:rsidR="00E61863" w:rsidRPr="007D4016">
        <w:rPr>
          <w:rFonts w:ascii="Times New Roman" w:hAnsi="Times New Roman"/>
          <w:sz w:val="24"/>
          <w:szCs w:val="24"/>
          <w:lang w:val="en-US" w:eastAsia="en-GB"/>
        </w:rPr>
        <w:t xml:space="preserve"> while</w:t>
      </w:r>
      <w:r w:rsidR="00896111" w:rsidRPr="007D4016">
        <w:rPr>
          <w:rFonts w:ascii="Times New Roman" w:hAnsi="Times New Roman"/>
          <w:sz w:val="24"/>
          <w:szCs w:val="24"/>
          <w:lang w:val="en-US" w:eastAsia="en-GB"/>
        </w:rPr>
        <w:t xml:space="preserve"> each of </w:t>
      </w:r>
      <w:r w:rsidR="00E61863" w:rsidRPr="007D4016">
        <w:rPr>
          <w:rFonts w:ascii="Times New Roman" w:hAnsi="Times New Roman"/>
          <w:sz w:val="24"/>
          <w:szCs w:val="24"/>
          <w:lang w:val="en-US" w:eastAsia="en-GB"/>
        </w:rPr>
        <w:t>the sectors</w:t>
      </w:r>
      <w:r w:rsidR="00896111" w:rsidRPr="007D4016">
        <w:rPr>
          <w:rFonts w:ascii="Times New Roman" w:hAnsi="Times New Roman"/>
          <w:sz w:val="24"/>
          <w:szCs w:val="24"/>
          <w:lang w:val="en-US" w:eastAsia="en-GB"/>
        </w:rPr>
        <w:t xml:space="preserve"> is faced with its own set of challenges to legitimacy and to long-term financial sustainability. </w:t>
      </w:r>
    </w:p>
    <w:p w14:paraId="40EC9781" w14:textId="77777777" w:rsidR="00993D16" w:rsidRPr="007D4016" w:rsidRDefault="00993D16" w:rsidP="00691469">
      <w:pPr>
        <w:spacing w:after="100" w:afterAutospacing="1" w:line="240" w:lineRule="auto"/>
        <w:jc w:val="both"/>
        <w:rPr>
          <w:rFonts w:ascii="Times New Roman" w:hAnsi="Times New Roman"/>
          <w:sz w:val="24"/>
          <w:szCs w:val="24"/>
          <w:lang w:val="en-US" w:eastAsia="en-GB"/>
        </w:rPr>
      </w:pPr>
      <w:r w:rsidRPr="007D4016">
        <w:rPr>
          <w:rStyle w:val="Heading1Char"/>
          <w:rFonts w:ascii="Times New Roman" w:eastAsia="Calibri" w:hAnsi="Times New Roman"/>
          <w:color w:val="auto"/>
          <w:sz w:val="24"/>
          <w:szCs w:val="24"/>
          <w:lang w:val="en-US"/>
        </w:rPr>
        <w:t>Keywords:</w:t>
      </w:r>
      <w:r w:rsidRPr="007D4016">
        <w:rPr>
          <w:rFonts w:ascii="Times New Roman" w:hAnsi="Times New Roman"/>
          <w:sz w:val="24"/>
          <w:szCs w:val="24"/>
          <w:lang w:val="en-US" w:eastAsia="en-GB"/>
        </w:rPr>
        <w:t xml:space="preserve"> Western Balkans; private higher education; higher education reforms; tuition fees; </w:t>
      </w:r>
      <w:r w:rsidR="007D4016" w:rsidRPr="007D4016">
        <w:rPr>
          <w:rFonts w:ascii="Times New Roman" w:hAnsi="Times New Roman"/>
          <w:sz w:val="24"/>
          <w:szCs w:val="24"/>
          <w:lang w:val="en-US" w:eastAsia="en-GB"/>
        </w:rPr>
        <w:t>privatization</w:t>
      </w:r>
      <w:r w:rsidRPr="007D4016">
        <w:rPr>
          <w:rFonts w:ascii="Times New Roman" w:hAnsi="Times New Roman"/>
          <w:sz w:val="24"/>
          <w:szCs w:val="24"/>
          <w:lang w:val="en-US" w:eastAsia="en-GB"/>
        </w:rPr>
        <w:t xml:space="preserve"> of higher education</w:t>
      </w:r>
      <w:r w:rsidR="006D191A" w:rsidRPr="007D4016">
        <w:rPr>
          <w:rFonts w:ascii="Times New Roman" w:hAnsi="Times New Roman"/>
          <w:sz w:val="24"/>
          <w:szCs w:val="24"/>
          <w:lang w:val="en-US" w:eastAsia="en-GB"/>
        </w:rPr>
        <w:t xml:space="preserve">; </w:t>
      </w:r>
      <w:r w:rsidR="00A30812" w:rsidRPr="007D4016">
        <w:rPr>
          <w:rFonts w:ascii="Times New Roman" w:hAnsi="Times New Roman"/>
          <w:sz w:val="24"/>
          <w:szCs w:val="24"/>
          <w:lang w:val="en-US" w:eastAsia="en-GB"/>
        </w:rPr>
        <w:t>financing of higher education</w:t>
      </w:r>
    </w:p>
    <w:p w14:paraId="4F7D04C2" w14:textId="77777777" w:rsidR="001648D7" w:rsidRPr="007D4016" w:rsidRDefault="001648D7" w:rsidP="00691469">
      <w:pPr>
        <w:spacing w:after="100" w:afterAutospacing="1" w:line="240" w:lineRule="auto"/>
        <w:jc w:val="both"/>
        <w:rPr>
          <w:rFonts w:ascii="Times New Roman" w:hAnsi="Times New Roman"/>
          <w:sz w:val="24"/>
          <w:szCs w:val="24"/>
          <w:lang w:val="en-US" w:eastAsia="en-GB"/>
        </w:rPr>
      </w:pPr>
    </w:p>
    <w:p w14:paraId="0A2C589A" w14:textId="77777777" w:rsidR="001648D7" w:rsidRDefault="001648D7" w:rsidP="001648D7">
      <w:pPr>
        <w:spacing w:after="0" w:line="240" w:lineRule="auto"/>
        <w:rPr>
          <w:rFonts w:ascii="Times New Roman" w:hAnsi="Times New Roman"/>
          <w:b/>
          <w:sz w:val="24"/>
          <w:szCs w:val="24"/>
          <w:lang w:val="en-US"/>
        </w:rPr>
      </w:pPr>
      <w:r>
        <w:rPr>
          <w:rFonts w:ascii="Times New Roman" w:hAnsi="Times New Roman"/>
          <w:b/>
          <w:sz w:val="24"/>
          <w:szCs w:val="24"/>
          <w:lang w:val="en-US"/>
        </w:rPr>
        <w:t>Author bios:</w:t>
      </w:r>
    </w:p>
    <w:p w14:paraId="624FC26B" w14:textId="77777777" w:rsidR="001648D7" w:rsidRDefault="001648D7" w:rsidP="001648D7">
      <w:pPr>
        <w:spacing w:after="0" w:line="240" w:lineRule="auto"/>
        <w:rPr>
          <w:rFonts w:ascii="Times New Roman" w:hAnsi="Times New Roman"/>
          <w:b/>
          <w:sz w:val="24"/>
          <w:szCs w:val="24"/>
          <w:lang w:val="en-US"/>
        </w:rPr>
      </w:pPr>
    </w:p>
    <w:p w14:paraId="28E25EBC" w14:textId="77777777" w:rsidR="001648D7" w:rsidRDefault="001648D7" w:rsidP="001648D7">
      <w:pPr>
        <w:spacing w:after="0" w:line="240" w:lineRule="auto"/>
        <w:rPr>
          <w:rFonts w:ascii="Times New Roman" w:hAnsi="Times New Roman"/>
          <w:sz w:val="24"/>
          <w:szCs w:val="24"/>
          <w:lang w:val="en-US"/>
        </w:rPr>
      </w:pPr>
      <w:r w:rsidRPr="001648D7">
        <w:rPr>
          <w:rFonts w:ascii="Times New Roman" w:hAnsi="Times New Roman"/>
          <w:sz w:val="24"/>
          <w:szCs w:val="24"/>
          <w:lang w:val="en-US"/>
        </w:rPr>
        <w:t xml:space="preserve">Manja Klemenčič is Lecturer in Sociology at Department of Sociology, Faculty of Arts and Sciences, Harvard University and also serves as Editor of </w:t>
      </w:r>
      <w:r w:rsidRPr="001648D7">
        <w:rPr>
          <w:rFonts w:ascii="Times New Roman" w:hAnsi="Times New Roman"/>
          <w:i/>
          <w:sz w:val="24"/>
          <w:szCs w:val="24"/>
          <w:lang w:val="en-US"/>
        </w:rPr>
        <w:t>European Journal of Higher Education</w:t>
      </w:r>
      <w:r w:rsidRPr="001648D7">
        <w:rPr>
          <w:rFonts w:ascii="Times New Roman" w:hAnsi="Times New Roman"/>
          <w:sz w:val="24"/>
          <w:szCs w:val="24"/>
          <w:lang w:val="en-US"/>
        </w:rPr>
        <w:t xml:space="preserve">. Her research is broadly in the area of Higher Education Studies with specific focus on contemporary higher education reforms. </w:t>
      </w:r>
    </w:p>
    <w:p w14:paraId="0F59204D" w14:textId="77777777" w:rsidR="001648D7" w:rsidRPr="001648D7" w:rsidRDefault="001648D7" w:rsidP="001648D7">
      <w:pPr>
        <w:spacing w:after="0" w:line="240" w:lineRule="auto"/>
        <w:rPr>
          <w:rFonts w:ascii="Times New Roman" w:hAnsi="Times New Roman"/>
          <w:sz w:val="24"/>
          <w:szCs w:val="24"/>
          <w:lang w:val="en-US"/>
        </w:rPr>
      </w:pPr>
    </w:p>
    <w:p w14:paraId="4615B0A1" w14:textId="38A298C5" w:rsidR="00DF3775" w:rsidRDefault="00F60F75" w:rsidP="00691469">
      <w:pPr>
        <w:spacing w:after="100" w:afterAutospacing="1" w:line="240" w:lineRule="auto"/>
        <w:rPr>
          <w:rFonts w:ascii="Times New Roman" w:eastAsia="Times New Roman" w:hAnsi="Times New Roman"/>
          <w:b/>
          <w:bCs/>
          <w:sz w:val="24"/>
          <w:szCs w:val="24"/>
          <w:lang w:val="en-US"/>
        </w:rPr>
      </w:pPr>
      <w:r w:rsidRPr="00F60F75">
        <w:rPr>
          <w:rFonts w:ascii="Times New Roman" w:hAnsi="Times New Roman"/>
          <w:sz w:val="24"/>
          <w:szCs w:val="24"/>
          <w:lang w:val="en-US"/>
        </w:rPr>
        <w:t xml:space="preserve">Pavel Zgaga is Professor in Philosophy of Education at Faculty of Education, University of Ljubljana and head </w:t>
      </w:r>
      <w:r w:rsidRPr="008F0351">
        <w:rPr>
          <w:rFonts w:ascii="Times New Roman" w:hAnsi="Times New Roman"/>
          <w:sz w:val="24"/>
          <w:szCs w:val="24"/>
          <w:lang w:val="en-US"/>
        </w:rPr>
        <w:t>of the Centre for Education Policy Studies. His research is broadly in the area of Higher Education Studies with specific focus on contemporary higher education reforms.</w:t>
      </w:r>
    </w:p>
    <w:p w14:paraId="4925F03F" w14:textId="77777777" w:rsidR="001648D7" w:rsidRDefault="001648D7" w:rsidP="00691469">
      <w:pPr>
        <w:spacing w:after="100" w:afterAutospacing="1" w:line="240" w:lineRule="auto"/>
        <w:rPr>
          <w:rFonts w:ascii="Times New Roman" w:eastAsia="Times New Roman" w:hAnsi="Times New Roman"/>
          <w:b/>
          <w:bCs/>
          <w:sz w:val="24"/>
          <w:szCs w:val="24"/>
          <w:lang w:val="en-US"/>
        </w:rPr>
      </w:pPr>
    </w:p>
    <w:p w14:paraId="4F7E7FF8" w14:textId="77777777" w:rsidR="001648D7" w:rsidRDefault="001648D7" w:rsidP="00691469">
      <w:pPr>
        <w:spacing w:after="100" w:afterAutospacing="1" w:line="240" w:lineRule="auto"/>
        <w:rPr>
          <w:rFonts w:ascii="Times New Roman" w:eastAsia="Times New Roman" w:hAnsi="Times New Roman"/>
          <w:b/>
          <w:bCs/>
          <w:sz w:val="24"/>
          <w:szCs w:val="24"/>
          <w:lang w:val="en-US"/>
        </w:rPr>
      </w:pPr>
    </w:p>
    <w:p w14:paraId="43003A31" w14:textId="77777777" w:rsidR="001648D7" w:rsidRDefault="001648D7" w:rsidP="00691469">
      <w:pPr>
        <w:spacing w:after="100" w:afterAutospacing="1" w:line="240" w:lineRule="auto"/>
        <w:rPr>
          <w:rFonts w:ascii="Times New Roman" w:eastAsia="Times New Roman" w:hAnsi="Times New Roman"/>
          <w:b/>
          <w:bCs/>
          <w:sz w:val="24"/>
          <w:szCs w:val="24"/>
          <w:lang w:val="en-US"/>
        </w:rPr>
      </w:pPr>
    </w:p>
    <w:p w14:paraId="7AC52F42" w14:textId="77777777" w:rsidR="001648D7" w:rsidRPr="007D4016" w:rsidRDefault="001648D7" w:rsidP="00691469">
      <w:pPr>
        <w:spacing w:after="100" w:afterAutospacing="1" w:line="240" w:lineRule="auto"/>
        <w:rPr>
          <w:rFonts w:ascii="Times New Roman" w:eastAsia="Times New Roman" w:hAnsi="Times New Roman"/>
          <w:b/>
          <w:bCs/>
          <w:sz w:val="24"/>
          <w:szCs w:val="24"/>
          <w:lang w:val="en-US"/>
        </w:rPr>
      </w:pPr>
    </w:p>
    <w:p w14:paraId="79B2DF6C" w14:textId="77777777" w:rsidR="00993D16" w:rsidRPr="007D4016" w:rsidRDefault="00993D16" w:rsidP="00691469">
      <w:pPr>
        <w:pStyle w:val="Heading1"/>
        <w:spacing w:before="0" w:after="100" w:afterAutospacing="1" w:line="240" w:lineRule="auto"/>
        <w:jc w:val="both"/>
        <w:rPr>
          <w:rFonts w:ascii="Times New Roman" w:hAnsi="Times New Roman"/>
          <w:color w:val="auto"/>
          <w:sz w:val="24"/>
          <w:szCs w:val="24"/>
          <w:lang w:val="en-US"/>
        </w:rPr>
      </w:pPr>
      <w:r w:rsidRPr="007D4016">
        <w:rPr>
          <w:rFonts w:ascii="Times New Roman" w:hAnsi="Times New Roman"/>
          <w:color w:val="auto"/>
          <w:sz w:val="24"/>
          <w:szCs w:val="24"/>
          <w:lang w:val="en-US"/>
        </w:rPr>
        <w:t>Introduction</w:t>
      </w:r>
    </w:p>
    <w:p w14:paraId="5E323A87" w14:textId="2B81A301" w:rsidR="00A30812" w:rsidRPr="007D4016" w:rsidRDefault="000D7FCB" w:rsidP="00691469">
      <w:pPr>
        <w:spacing w:after="100" w:afterAutospacing="1" w:line="240" w:lineRule="auto"/>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lang w:val="en-US"/>
        </w:rPr>
        <w:t xml:space="preserve">Since the 1990s, </w:t>
      </w:r>
      <w:r w:rsidRPr="007D4016">
        <w:rPr>
          <w:rFonts w:ascii="Times New Roman" w:hAnsi="Times New Roman"/>
          <w:sz w:val="24"/>
          <w:szCs w:val="24"/>
          <w:shd w:val="clear" w:color="auto" w:fill="FFFFFF"/>
          <w:lang w:val="en-US"/>
        </w:rPr>
        <w:t>the higher education systems have changed dramatically</w:t>
      </w:r>
      <w:r>
        <w:rPr>
          <w:rFonts w:ascii="Times New Roman" w:hAnsi="Times New Roman"/>
          <w:sz w:val="24"/>
          <w:szCs w:val="24"/>
          <w:shd w:val="clear" w:color="auto" w:fill="FFFFFF"/>
          <w:lang w:val="en-US"/>
        </w:rPr>
        <w:t xml:space="preserve"> i</w:t>
      </w:r>
      <w:r w:rsidR="00691469" w:rsidRPr="007D4016">
        <w:rPr>
          <w:rFonts w:ascii="Times New Roman" w:hAnsi="Times New Roman"/>
          <w:sz w:val="24"/>
          <w:szCs w:val="24"/>
          <w:shd w:val="clear" w:color="auto" w:fill="FFFFFF"/>
          <w:lang w:val="en-US"/>
        </w:rPr>
        <w:t xml:space="preserve">n the eight countries </w:t>
      </w:r>
      <w:r>
        <w:rPr>
          <w:rFonts w:ascii="Times New Roman" w:hAnsi="Times New Roman"/>
          <w:sz w:val="24"/>
          <w:szCs w:val="24"/>
          <w:shd w:val="clear" w:color="auto" w:fill="FFFFFF"/>
          <w:lang w:val="en-US"/>
        </w:rPr>
        <w:t>of</w:t>
      </w:r>
      <w:r w:rsidR="00691469" w:rsidRPr="007D4016">
        <w:rPr>
          <w:rFonts w:ascii="Times New Roman" w:hAnsi="Times New Roman"/>
          <w:sz w:val="24"/>
          <w:szCs w:val="24"/>
          <w:shd w:val="clear" w:color="auto" w:fill="FFFFFF"/>
          <w:lang w:val="en-US"/>
        </w:rPr>
        <w:t xml:space="preserve"> the Western Balkans (Albania, Bosnia and Herzegovina, Croatia, Former Yugoslav Republic of Macedonia [Macedonia], Kosovo, Montenegro, Serbia and Slovenia)</w:t>
      </w:r>
      <w:r>
        <w:rPr>
          <w:rFonts w:ascii="Times New Roman" w:hAnsi="Times New Roman"/>
          <w:sz w:val="24"/>
          <w:szCs w:val="24"/>
          <w:shd w:val="clear" w:color="auto" w:fill="FFFFFF"/>
          <w:lang w:val="en-US"/>
        </w:rPr>
        <w:t>,</w:t>
      </w:r>
      <w:r w:rsidR="000579B8">
        <w:rPr>
          <w:rFonts w:ascii="Times New Roman" w:hAnsi="Times New Roman"/>
          <w:sz w:val="24"/>
          <w:szCs w:val="24"/>
          <w:shd w:val="clear" w:color="auto" w:fill="FFFFFF"/>
          <w:lang w:val="en-US"/>
        </w:rPr>
        <w:t>[1]</w:t>
      </w:r>
      <w:r w:rsidR="00691469" w:rsidRPr="007D4016">
        <w:rPr>
          <w:rFonts w:ascii="Times New Roman" w:hAnsi="Times New Roman"/>
          <w:sz w:val="24"/>
          <w:szCs w:val="24"/>
          <w:shd w:val="clear" w:color="auto" w:fill="FFFFFF"/>
          <w:lang w:val="en-US"/>
        </w:rPr>
        <w:t xml:space="preserve"> which are examined in this article. O</w:t>
      </w:r>
      <w:r>
        <w:rPr>
          <w:rFonts w:ascii="Times New Roman" w:hAnsi="Times New Roman"/>
          <w:sz w:val="24"/>
          <w:szCs w:val="24"/>
          <w:shd w:val="clear" w:color="auto" w:fill="FFFFFF"/>
          <w:lang w:val="en-US"/>
        </w:rPr>
        <w:t xml:space="preserve">ne </w:t>
      </w:r>
      <w:r w:rsidR="00691469" w:rsidRPr="007D4016">
        <w:rPr>
          <w:rFonts w:ascii="Times New Roman" w:hAnsi="Times New Roman"/>
          <w:sz w:val="24"/>
          <w:szCs w:val="24"/>
          <w:shd w:val="clear" w:color="auto" w:fill="FFFFFF"/>
          <w:lang w:val="en-US"/>
        </w:rPr>
        <w:t xml:space="preserve">of the most controversial </w:t>
      </w:r>
      <w:r>
        <w:rPr>
          <w:rFonts w:ascii="Times New Roman" w:hAnsi="Times New Roman"/>
          <w:sz w:val="24"/>
          <w:szCs w:val="24"/>
          <w:shd w:val="clear" w:color="auto" w:fill="FFFFFF"/>
          <w:lang w:val="en-US"/>
        </w:rPr>
        <w:t xml:space="preserve">higher education reforms </w:t>
      </w:r>
      <w:r w:rsidR="00691469" w:rsidRPr="007D4016">
        <w:rPr>
          <w:rFonts w:ascii="Times New Roman" w:hAnsi="Times New Roman"/>
          <w:sz w:val="24"/>
          <w:szCs w:val="24"/>
          <w:shd w:val="clear" w:color="auto" w:fill="FFFFFF"/>
          <w:lang w:val="en-US"/>
        </w:rPr>
        <w:t xml:space="preserve">has been the establishment of private higher education institutions and </w:t>
      </w:r>
      <w:r>
        <w:rPr>
          <w:rFonts w:ascii="Times New Roman" w:hAnsi="Times New Roman"/>
          <w:sz w:val="24"/>
          <w:szCs w:val="24"/>
          <w:shd w:val="clear" w:color="auto" w:fill="FFFFFF"/>
          <w:lang w:val="en-US"/>
        </w:rPr>
        <w:t xml:space="preserve">their </w:t>
      </w:r>
      <w:r w:rsidR="00EC5181" w:rsidRPr="007D4016">
        <w:rPr>
          <w:rFonts w:ascii="Times New Roman" w:hAnsi="Times New Roman"/>
          <w:sz w:val="24"/>
          <w:szCs w:val="24"/>
          <w:shd w:val="clear" w:color="auto" w:fill="FFFFFF"/>
          <w:lang w:val="en-US"/>
        </w:rPr>
        <w:t>position</w:t>
      </w:r>
      <w:r>
        <w:rPr>
          <w:rFonts w:ascii="Times New Roman" w:hAnsi="Times New Roman"/>
          <w:sz w:val="24"/>
          <w:szCs w:val="24"/>
          <w:shd w:val="clear" w:color="auto" w:fill="FFFFFF"/>
          <w:lang w:val="en-US"/>
        </w:rPr>
        <w:t>ing</w:t>
      </w:r>
      <w:r w:rsidR="00EC5181" w:rsidRPr="007D4016">
        <w:rPr>
          <w:rFonts w:ascii="Times New Roman" w:hAnsi="Times New Roman"/>
          <w:sz w:val="24"/>
          <w:szCs w:val="24"/>
          <w:shd w:val="clear" w:color="auto" w:fill="FFFFFF"/>
          <w:lang w:val="en-US"/>
        </w:rPr>
        <w:t xml:space="preserve"> </w:t>
      </w:r>
      <w:r w:rsidR="00691469" w:rsidRPr="007D4016">
        <w:rPr>
          <w:rFonts w:ascii="Times New Roman" w:hAnsi="Times New Roman"/>
          <w:sz w:val="24"/>
          <w:szCs w:val="24"/>
          <w:shd w:val="clear" w:color="auto" w:fill="FFFFFF"/>
          <w:lang w:val="en-US"/>
        </w:rPr>
        <w:t>vis-à-vis public institutions</w:t>
      </w:r>
      <w:r w:rsidR="00EC5181" w:rsidRPr="007D4016">
        <w:rPr>
          <w:rFonts w:ascii="Times New Roman" w:hAnsi="Times New Roman"/>
          <w:sz w:val="24"/>
          <w:szCs w:val="24"/>
          <w:shd w:val="clear" w:color="auto" w:fill="FFFFFF"/>
          <w:lang w:val="en-US"/>
        </w:rPr>
        <w:t>. Prior to 1990 there were only state higher education institutions in the Western Balkans</w:t>
      </w:r>
      <w:r>
        <w:rPr>
          <w:rFonts w:ascii="Times New Roman" w:hAnsi="Times New Roman"/>
          <w:sz w:val="24"/>
          <w:szCs w:val="24"/>
          <w:shd w:val="clear" w:color="auto" w:fill="FFFFFF"/>
          <w:lang w:val="en-US"/>
        </w:rPr>
        <w:t xml:space="preserve">, </w:t>
      </w:r>
      <w:r w:rsidR="00EC5181" w:rsidRPr="007D4016">
        <w:rPr>
          <w:rFonts w:ascii="Times New Roman" w:hAnsi="Times New Roman"/>
          <w:sz w:val="24"/>
          <w:szCs w:val="24"/>
          <w:shd w:val="clear" w:color="auto" w:fill="FFFFFF"/>
          <w:lang w:val="en-US"/>
        </w:rPr>
        <w:t xml:space="preserve">with the exception of some religious higher schools established by churches in Yugoslavia, but these were not </w:t>
      </w:r>
      <w:r w:rsidR="007D4016" w:rsidRPr="007D4016">
        <w:rPr>
          <w:rFonts w:ascii="Times New Roman" w:hAnsi="Times New Roman"/>
          <w:sz w:val="24"/>
          <w:szCs w:val="24"/>
          <w:shd w:val="clear" w:color="auto" w:fill="FFFFFF"/>
          <w:lang w:val="en-US"/>
        </w:rPr>
        <w:t>recognized</w:t>
      </w:r>
      <w:r w:rsidR="00EC5181" w:rsidRPr="007D4016">
        <w:rPr>
          <w:rFonts w:ascii="Times New Roman" w:hAnsi="Times New Roman"/>
          <w:sz w:val="24"/>
          <w:szCs w:val="24"/>
          <w:shd w:val="clear" w:color="auto" w:fill="FFFFFF"/>
          <w:lang w:val="en-US"/>
        </w:rPr>
        <w:t xml:space="preserve"> as part of formal education. </w:t>
      </w:r>
      <w:r w:rsidR="006F153C" w:rsidRPr="007D4016">
        <w:rPr>
          <w:rFonts w:ascii="Times New Roman" w:hAnsi="Times New Roman"/>
          <w:sz w:val="24"/>
          <w:szCs w:val="24"/>
          <w:shd w:val="clear" w:color="auto" w:fill="FFFFFF"/>
          <w:lang w:val="en-US"/>
        </w:rPr>
        <w:t>Embracing the market ec</w:t>
      </w:r>
      <w:r w:rsidR="00D07802" w:rsidRPr="007D4016">
        <w:rPr>
          <w:rFonts w:ascii="Times New Roman" w:hAnsi="Times New Roman"/>
          <w:sz w:val="24"/>
          <w:szCs w:val="24"/>
          <w:shd w:val="clear" w:color="auto" w:fill="FFFFFF"/>
          <w:lang w:val="en-US"/>
        </w:rPr>
        <w:t>onomic model in the early 1990</w:t>
      </w:r>
      <w:r w:rsidR="006F153C" w:rsidRPr="007D4016">
        <w:rPr>
          <w:rFonts w:ascii="Times New Roman" w:hAnsi="Times New Roman"/>
          <w:sz w:val="24"/>
          <w:szCs w:val="24"/>
          <w:shd w:val="clear" w:color="auto" w:fill="FFFFFF"/>
          <w:lang w:val="en-US"/>
        </w:rPr>
        <w:t xml:space="preserve">s and facing rising student demand, the governments in the Western Balkans </w:t>
      </w:r>
      <w:r w:rsidR="009A72F4" w:rsidRPr="007D4016">
        <w:rPr>
          <w:rFonts w:ascii="Times New Roman" w:hAnsi="Times New Roman"/>
          <w:sz w:val="24"/>
          <w:szCs w:val="24"/>
          <w:shd w:val="clear" w:color="auto" w:fill="FFFFFF"/>
          <w:lang w:val="en-US"/>
        </w:rPr>
        <w:t xml:space="preserve">gradually </w:t>
      </w:r>
      <w:r w:rsidR="006F153C" w:rsidRPr="007D4016">
        <w:rPr>
          <w:rFonts w:ascii="Times New Roman" w:hAnsi="Times New Roman"/>
          <w:sz w:val="24"/>
          <w:szCs w:val="24"/>
          <w:shd w:val="clear" w:color="auto" w:fill="FFFFFF"/>
          <w:lang w:val="en-US"/>
        </w:rPr>
        <w:t xml:space="preserve">made private higher provision legally possible. The first countries in the Western Balkans to </w:t>
      </w:r>
      <w:r w:rsidR="007D4016" w:rsidRPr="007D4016">
        <w:rPr>
          <w:rFonts w:ascii="Times New Roman" w:hAnsi="Times New Roman"/>
          <w:sz w:val="24"/>
          <w:szCs w:val="24"/>
          <w:shd w:val="clear" w:color="auto" w:fill="FFFFFF"/>
          <w:lang w:val="en-US"/>
        </w:rPr>
        <w:t>license</w:t>
      </w:r>
      <w:r w:rsidR="006F153C" w:rsidRPr="007D4016">
        <w:rPr>
          <w:rFonts w:ascii="Times New Roman" w:hAnsi="Times New Roman"/>
          <w:sz w:val="24"/>
          <w:szCs w:val="24"/>
          <w:shd w:val="clear" w:color="auto" w:fill="FFFFFF"/>
          <w:lang w:val="en-US"/>
        </w:rPr>
        <w:t xml:space="preserve"> private providers were Slovenia and Serbia in 1993, followed by Bosnia and Herzegovina in 2000, Croatia, Montenegro and Macedonia in 2003, Albania in 2005</w:t>
      </w:r>
      <w:r>
        <w:rPr>
          <w:rFonts w:ascii="Times New Roman" w:hAnsi="Times New Roman"/>
          <w:sz w:val="24"/>
          <w:szCs w:val="24"/>
          <w:shd w:val="clear" w:color="auto" w:fill="FFFFFF"/>
          <w:lang w:val="en-US"/>
        </w:rPr>
        <w:t>,</w:t>
      </w:r>
      <w:r w:rsidR="006F153C" w:rsidRPr="007D4016">
        <w:rPr>
          <w:rFonts w:ascii="Times New Roman" w:hAnsi="Times New Roman"/>
          <w:sz w:val="24"/>
          <w:szCs w:val="24"/>
          <w:shd w:val="clear" w:color="auto" w:fill="FFFFFF"/>
          <w:lang w:val="en-US"/>
        </w:rPr>
        <w:t xml:space="preserve"> and Kosovo in 2007 (Branković, 2014). In the initial stages, the quest for more education providers to absorb the rising demand certainly prevailed as rationale for such policy choice</w:t>
      </w:r>
      <w:r w:rsidR="00A30812" w:rsidRPr="007D4016">
        <w:rPr>
          <w:rFonts w:ascii="Times New Roman" w:hAnsi="Times New Roman"/>
          <w:sz w:val="24"/>
          <w:szCs w:val="24"/>
          <w:shd w:val="clear" w:color="auto" w:fill="FFFFFF"/>
          <w:lang w:val="en-US"/>
        </w:rPr>
        <w:t>s</w:t>
      </w:r>
      <w:r w:rsidR="006F153C" w:rsidRPr="007D4016">
        <w:rPr>
          <w:rFonts w:ascii="Times New Roman" w:hAnsi="Times New Roman"/>
          <w:sz w:val="24"/>
          <w:szCs w:val="24"/>
          <w:shd w:val="clear" w:color="auto" w:fill="FFFFFF"/>
          <w:lang w:val="en-US"/>
        </w:rPr>
        <w:t>.</w:t>
      </w:r>
      <w:r w:rsidR="00A30812" w:rsidRPr="007D4016">
        <w:rPr>
          <w:rFonts w:ascii="Times New Roman" w:hAnsi="Times New Roman"/>
          <w:sz w:val="24"/>
          <w:szCs w:val="24"/>
          <w:shd w:val="clear" w:color="auto" w:fill="FFFFFF"/>
          <w:lang w:val="en-US"/>
        </w:rPr>
        <w:t xml:space="preserve"> A</w:t>
      </w:r>
      <w:r w:rsidR="008B7B3B" w:rsidRPr="007D4016">
        <w:rPr>
          <w:rFonts w:ascii="Times New Roman" w:hAnsi="Times New Roman"/>
          <w:sz w:val="24"/>
          <w:szCs w:val="24"/>
          <w:shd w:val="clear" w:color="auto" w:fill="FFFFFF"/>
          <w:lang w:val="en-US"/>
        </w:rPr>
        <w:t xml:space="preserve">mong the late-comers, </w:t>
      </w:r>
      <w:r w:rsidR="00A30812" w:rsidRPr="007D4016">
        <w:rPr>
          <w:rFonts w:ascii="Times New Roman" w:hAnsi="Times New Roman"/>
          <w:sz w:val="24"/>
          <w:szCs w:val="24"/>
          <w:shd w:val="clear" w:color="auto" w:fill="FFFFFF"/>
          <w:lang w:val="en-US"/>
        </w:rPr>
        <w:t xml:space="preserve">some </w:t>
      </w:r>
      <w:r w:rsidR="008B7B3B" w:rsidRPr="007D4016">
        <w:rPr>
          <w:rFonts w:ascii="Times New Roman" w:hAnsi="Times New Roman"/>
          <w:sz w:val="24"/>
          <w:szCs w:val="24"/>
          <w:shd w:val="clear" w:color="auto" w:fill="FFFFFF"/>
          <w:lang w:val="en-US"/>
        </w:rPr>
        <w:t>private provision</w:t>
      </w:r>
      <w:r w:rsidR="00D02327" w:rsidRPr="007D4016">
        <w:rPr>
          <w:rFonts w:ascii="Times New Roman" w:hAnsi="Times New Roman"/>
          <w:sz w:val="24"/>
          <w:szCs w:val="24"/>
          <w:shd w:val="clear" w:color="auto" w:fill="FFFFFF"/>
          <w:lang w:val="en-US"/>
        </w:rPr>
        <w:t>s</w:t>
      </w:r>
      <w:r w:rsidR="008B7B3B" w:rsidRPr="007D4016">
        <w:rPr>
          <w:rFonts w:ascii="Times New Roman" w:hAnsi="Times New Roman"/>
          <w:sz w:val="24"/>
          <w:szCs w:val="24"/>
          <w:shd w:val="clear" w:color="auto" w:fill="FFFFFF"/>
          <w:lang w:val="en-US"/>
        </w:rPr>
        <w:t xml:space="preserve"> already existed in practice</w:t>
      </w:r>
      <w:r w:rsidR="00A30812" w:rsidRPr="007D4016">
        <w:rPr>
          <w:rFonts w:ascii="Times New Roman" w:hAnsi="Times New Roman"/>
          <w:sz w:val="24"/>
          <w:szCs w:val="24"/>
          <w:shd w:val="clear" w:color="auto" w:fill="FFFFFF"/>
          <w:lang w:val="en-US"/>
        </w:rPr>
        <w:t xml:space="preserve">. Here governments intervened with legislation also in order to regulate private providers that </w:t>
      </w:r>
      <w:r w:rsidR="000B7CE1" w:rsidRPr="007D4016">
        <w:rPr>
          <w:rFonts w:ascii="Times New Roman" w:hAnsi="Times New Roman"/>
          <w:sz w:val="24"/>
          <w:szCs w:val="24"/>
          <w:shd w:val="clear" w:color="auto" w:fill="FFFFFF"/>
          <w:lang w:val="en-US"/>
        </w:rPr>
        <w:t>operat</w:t>
      </w:r>
      <w:r w:rsidR="00A30812" w:rsidRPr="007D4016">
        <w:rPr>
          <w:rFonts w:ascii="Times New Roman" w:hAnsi="Times New Roman"/>
          <w:sz w:val="24"/>
          <w:szCs w:val="24"/>
          <w:shd w:val="clear" w:color="auto" w:fill="FFFFFF"/>
          <w:lang w:val="en-US"/>
        </w:rPr>
        <w:t>ed</w:t>
      </w:r>
      <w:r w:rsidR="000B7CE1" w:rsidRPr="007D4016">
        <w:rPr>
          <w:rFonts w:ascii="Times New Roman" w:hAnsi="Times New Roman"/>
          <w:sz w:val="24"/>
          <w:szCs w:val="24"/>
          <w:shd w:val="clear" w:color="auto" w:fill="FFFFFF"/>
          <w:lang w:val="en-US"/>
        </w:rPr>
        <w:t xml:space="preserve"> in </w:t>
      </w:r>
      <w:r w:rsidR="00D02327" w:rsidRPr="007D4016">
        <w:rPr>
          <w:rFonts w:ascii="Times New Roman" w:hAnsi="Times New Roman"/>
          <w:sz w:val="24"/>
          <w:szCs w:val="24"/>
          <w:shd w:val="clear" w:color="auto" w:fill="FFFFFF"/>
          <w:lang w:val="en-US"/>
        </w:rPr>
        <w:t xml:space="preserve">a </w:t>
      </w:r>
      <w:r w:rsidR="000B7CE1" w:rsidRPr="007D4016">
        <w:rPr>
          <w:rFonts w:ascii="Times New Roman" w:hAnsi="Times New Roman"/>
          <w:sz w:val="24"/>
          <w:szCs w:val="24"/>
          <w:shd w:val="clear" w:color="auto" w:fill="FFFFFF"/>
          <w:lang w:val="en-US"/>
        </w:rPr>
        <w:t xml:space="preserve">‘grey area’ of </w:t>
      </w:r>
      <w:r w:rsidR="00A30812" w:rsidRPr="007D4016">
        <w:rPr>
          <w:rFonts w:ascii="Times New Roman" w:hAnsi="Times New Roman"/>
          <w:sz w:val="24"/>
          <w:szCs w:val="24"/>
          <w:shd w:val="clear" w:color="auto" w:fill="FFFFFF"/>
          <w:lang w:val="en-US"/>
        </w:rPr>
        <w:t xml:space="preserve">the emerging liberal market economies. </w:t>
      </w:r>
    </w:p>
    <w:p w14:paraId="47FC3678" w14:textId="41A52831" w:rsidR="00691469" w:rsidRPr="007D4016" w:rsidRDefault="00A30812" w:rsidP="00691469">
      <w:pPr>
        <w:spacing w:after="100" w:afterAutospacing="1" w:line="240" w:lineRule="auto"/>
        <w:jc w:val="both"/>
        <w:rPr>
          <w:rFonts w:ascii="Times New Roman" w:hAnsi="Times New Roman"/>
          <w:sz w:val="24"/>
          <w:szCs w:val="24"/>
          <w:shd w:val="clear" w:color="auto" w:fill="FFFFFF"/>
          <w:lang w:val="en-US"/>
        </w:rPr>
      </w:pPr>
      <w:r w:rsidRPr="007D4016">
        <w:rPr>
          <w:rFonts w:ascii="Times New Roman" w:hAnsi="Times New Roman"/>
          <w:sz w:val="24"/>
          <w:szCs w:val="24"/>
          <w:shd w:val="clear" w:color="auto" w:fill="FFFFFF"/>
          <w:lang w:val="en-US"/>
        </w:rPr>
        <w:t xml:space="preserve">Following the reforms, all of the examined countries experienced a significant growth of private providers similar to what happened elsewhere in Central and Eastern Europe (Slantcheva &amp; Levy, 2007).  First of all, </w:t>
      </w:r>
      <w:r w:rsidR="00ED40D7" w:rsidRPr="007D4016">
        <w:rPr>
          <w:rFonts w:ascii="Times New Roman" w:hAnsi="Times New Roman"/>
          <w:sz w:val="24"/>
          <w:szCs w:val="24"/>
          <w:shd w:val="clear" w:color="auto" w:fill="FFFFFF"/>
          <w:lang w:val="en-US"/>
        </w:rPr>
        <w:t xml:space="preserve">absolute </w:t>
      </w:r>
      <w:r w:rsidR="00691469" w:rsidRPr="007D4016">
        <w:rPr>
          <w:rFonts w:ascii="Times New Roman" w:hAnsi="Times New Roman"/>
          <w:sz w:val="24"/>
          <w:szCs w:val="24"/>
          <w:shd w:val="clear" w:color="auto" w:fill="FFFFFF"/>
          <w:lang w:val="en-US"/>
        </w:rPr>
        <w:t xml:space="preserve">student enrolments doubled, even tripled </w:t>
      </w:r>
      <w:r w:rsidR="00D02327" w:rsidRPr="007D4016">
        <w:rPr>
          <w:rFonts w:ascii="Times New Roman" w:hAnsi="Times New Roman"/>
          <w:sz w:val="24"/>
          <w:szCs w:val="24"/>
          <w:shd w:val="clear" w:color="auto" w:fill="FFFFFF"/>
          <w:lang w:val="en-US"/>
        </w:rPr>
        <w:t xml:space="preserve">before </w:t>
      </w:r>
      <w:r w:rsidR="00691469" w:rsidRPr="007D4016">
        <w:rPr>
          <w:rFonts w:ascii="Times New Roman" w:hAnsi="Times New Roman"/>
          <w:sz w:val="24"/>
          <w:szCs w:val="24"/>
          <w:lang w:val="en-US"/>
        </w:rPr>
        <w:t>the turn of the millennium</w:t>
      </w:r>
      <w:r w:rsidR="00691469" w:rsidRPr="007D4016">
        <w:rPr>
          <w:rFonts w:ascii="Times New Roman" w:hAnsi="Times New Roman"/>
          <w:sz w:val="24"/>
          <w:szCs w:val="24"/>
          <w:shd w:val="clear" w:color="auto" w:fill="FFFFFF"/>
          <w:lang w:val="en-US"/>
        </w:rPr>
        <w:t xml:space="preserve"> (Zgaga et al., 2013, p.14</w:t>
      </w:r>
      <w:r w:rsidR="006F153C" w:rsidRPr="007D4016">
        <w:rPr>
          <w:rFonts w:ascii="Times New Roman" w:hAnsi="Times New Roman"/>
          <w:sz w:val="24"/>
          <w:szCs w:val="24"/>
          <w:shd w:val="clear" w:color="auto" w:fill="FFFFFF"/>
          <w:lang w:val="en-US"/>
        </w:rPr>
        <w:t>; see Figure 1</w:t>
      </w:r>
      <w:r w:rsidR="00691469" w:rsidRPr="007D4016">
        <w:rPr>
          <w:rFonts w:ascii="Times New Roman" w:hAnsi="Times New Roman"/>
          <w:sz w:val="24"/>
          <w:szCs w:val="24"/>
          <w:shd w:val="clear" w:color="auto" w:fill="FFFFFF"/>
          <w:lang w:val="en-US"/>
        </w:rPr>
        <w:t xml:space="preserve">). </w:t>
      </w:r>
      <w:r w:rsidR="00ED40D7" w:rsidRPr="007D4016">
        <w:rPr>
          <w:rFonts w:ascii="Times New Roman" w:hAnsi="Times New Roman"/>
          <w:sz w:val="24"/>
          <w:szCs w:val="24"/>
          <w:shd w:val="clear" w:color="auto" w:fill="FFFFFF"/>
          <w:lang w:val="en-US"/>
        </w:rPr>
        <w:t>E</w:t>
      </w:r>
      <w:r w:rsidR="006F153C" w:rsidRPr="007D4016">
        <w:rPr>
          <w:rFonts w:ascii="Times New Roman" w:hAnsi="Times New Roman"/>
          <w:sz w:val="24"/>
          <w:szCs w:val="24"/>
          <w:shd w:val="clear" w:color="auto" w:fill="FFFFFF"/>
          <w:lang w:val="en-US"/>
        </w:rPr>
        <w:t xml:space="preserve">nrolments </w:t>
      </w:r>
      <w:r w:rsidR="00ED40D7" w:rsidRPr="007D4016">
        <w:rPr>
          <w:rFonts w:ascii="Times New Roman" w:hAnsi="Times New Roman"/>
          <w:sz w:val="24"/>
          <w:szCs w:val="24"/>
          <w:shd w:val="clear" w:color="auto" w:fill="FFFFFF"/>
          <w:lang w:val="en-US"/>
        </w:rPr>
        <w:t>in</w:t>
      </w:r>
      <w:r w:rsidR="006F153C" w:rsidRPr="007D4016">
        <w:rPr>
          <w:rFonts w:ascii="Times New Roman" w:hAnsi="Times New Roman"/>
          <w:sz w:val="24"/>
          <w:szCs w:val="24"/>
          <w:shd w:val="clear" w:color="auto" w:fill="FFFFFF"/>
          <w:lang w:val="en-US"/>
        </w:rPr>
        <w:t xml:space="preserve"> private sector institutions gr</w:t>
      </w:r>
      <w:r w:rsidR="00ED40D7" w:rsidRPr="007D4016">
        <w:rPr>
          <w:rFonts w:ascii="Times New Roman" w:hAnsi="Times New Roman"/>
          <w:sz w:val="24"/>
          <w:szCs w:val="24"/>
          <w:shd w:val="clear" w:color="auto" w:fill="FFFFFF"/>
          <w:lang w:val="en-US"/>
        </w:rPr>
        <w:t>e</w:t>
      </w:r>
      <w:r w:rsidR="006F153C" w:rsidRPr="007D4016">
        <w:rPr>
          <w:rFonts w:ascii="Times New Roman" w:hAnsi="Times New Roman"/>
          <w:sz w:val="24"/>
          <w:szCs w:val="24"/>
          <w:shd w:val="clear" w:color="auto" w:fill="FFFFFF"/>
          <w:lang w:val="en-US"/>
        </w:rPr>
        <w:t xml:space="preserve">w significantly, both in absolute numbers and as a share of the entire student population (Branković, 2014; Zgaga et al., 2013). However, as </w:t>
      </w:r>
      <w:r w:rsidR="00ED40D7" w:rsidRPr="007D4016">
        <w:rPr>
          <w:rFonts w:ascii="Times New Roman" w:hAnsi="Times New Roman"/>
          <w:sz w:val="24"/>
          <w:szCs w:val="24"/>
          <w:shd w:val="clear" w:color="auto" w:fill="FFFFFF"/>
          <w:lang w:val="en-US"/>
        </w:rPr>
        <w:t xml:space="preserve">will </w:t>
      </w:r>
      <w:r w:rsidR="006F153C" w:rsidRPr="007D4016">
        <w:rPr>
          <w:rFonts w:ascii="Times New Roman" w:hAnsi="Times New Roman"/>
          <w:sz w:val="24"/>
          <w:szCs w:val="24"/>
          <w:shd w:val="clear" w:color="auto" w:fill="FFFFFF"/>
          <w:lang w:val="en-US"/>
        </w:rPr>
        <w:t xml:space="preserve">be discussed later, the biggest increase </w:t>
      </w:r>
      <w:r w:rsidR="00AE57F4" w:rsidRPr="007D4016">
        <w:rPr>
          <w:rFonts w:ascii="Times New Roman" w:hAnsi="Times New Roman"/>
          <w:sz w:val="24"/>
          <w:szCs w:val="24"/>
          <w:shd w:val="clear" w:color="auto" w:fill="FFFFFF"/>
          <w:lang w:val="en-US"/>
        </w:rPr>
        <w:t xml:space="preserve">in enrolments </w:t>
      </w:r>
      <w:r w:rsidR="006F153C" w:rsidRPr="007D4016">
        <w:rPr>
          <w:rFonts w:ascii="Times New Roman" w:hAnsi="Times New Roman"/>
          <w:sz w:val="24"/>
          <w:szCs w:val="24"/>
          <w:shd w:val="clear" w:color="auto" w:fill="FFFFFF"/>
          <w:lang w:val="en-US"/>
        </w:rPr>
        <w:t>was by self-paying students</w:t>
      </w:r>
      <w:r w:rsidR="008B7B3B" w:rsidRPr="007D4016">
        <w:rPr>
          <w:rFonts w:ascii="Times New Roman" w:hAnsi="Times New Roman"/>
          <w:sz w:val="24"/>
          <w:szCs w:val="24"/>
          <w:shd w:val="clear" w:color="auto" w:fill="FFFFFF"/>
          <w:lang w:val="en-US"/>
        </w:rPr>
        <w:t xml:space="preserve"> </w:t>
      </w:r>
      <w:r w:rsidR="006F153C" w:rsidRPr="007D4016">
        <w:rPr>
          <w:rFonts w:ascii="Times New Roman" w:hAnsi="Times New Roman"/>
          <w:sz w:val="24"/>
          <w:szCs w:val="24"/>
          <w:shd w:val="clear" w:color="auto" w:fill="FFFFFF"/>
          <w:lang w:val="en-US"/>
        </w:rPr>
        <w:t xml:space="preserve">in public higher education institutions, either because of </w:t>
      </w:r>
      <w:r w:rsidR="00ED40D7" w:rsidRPr="007D4016">
        <w:rPr>
          <w:rFonts w:ascii="Times New Roman" w:hAnsi="Times New Roman"/>
          <w:sz w:val="24"/>
          <w:szCs w:val="24"/>
          <w:shd w:val="clear" w:color="auto" w:fill="FFFFFF"/>
          <w:lang w:val="en-US"/>
        </w:rPr>
        <w:t xml:space="preserve">the </w:t>
      </w:r>
      <w:r w:rsidR="006F153C" w:rsidRPr="007D4016">
        <w:rPr>
          <w:rFonts w:ascii="Times New Roman" w:hAnsi="Times New Roman"/>
          <w:sz w:val="24"/>
          <w:szCs w:val="24"/>
          <w:shd w:val="clear" w:color="auto" w:fill="FFFFFF"/>
          <w:lang w:val="en-US"/>
        </w:rPr>
        <w:t xml:space="preserve">introduction of tuition fees or due to extending </w:t>
      </w:r>
      <w:r w:rsidR="00AE57F4" w:rsidRPr="007D4016">
        <w:rPr>
          <w:rFonts w:ascii="Times New Roman" w:hAnsi="Times New Roman"/>
          <w:sz w:val="24"/>
          <w:szCs w:val="24"/>
          <w:shd w:val="clear" w:color="auto" w:fill="FFFFFF"/>
          <w:lang w:val="en-US"/>
        </w:rPr>
        <w:t>study places to self-paying</w:t>
      </w:r>
      <w:r w:rsidR="006F153C" w:rsidRPr="007D4016">
        <w:rPr>
          <w:rFonts w:ascii="Times New Roman" w:hAnsi="Times New Roman"/>
          <w:sz w:val="24"/>
          <w:szCs w:val="24"/>
          <w:shd w:val="clear" w:color="auto" w:fill="FFFFFF"/>
          <w:lang w:val="en-US"/>
        </w:rPr>
        <w:t xml:space="preserve"> students</w:t>
      </w:r>
      <w:r w:rsidR="00683419" w:rsidRPr="007D4016">
        <w:rPr>
          <w:rFonts w:ascii="Times New Roman" w:hAnsi="Times New Roman"/>
          <w:sz w:val="24"/>
          <w:szCs w:val="24"/>
          <w:shd w:val="clear" w:color="auto" w:fill="FFFFFF"/>
          <w:lang w:val="en-US"/>
        </w:rPr>
        <w:t xml:space="preserve">. </w:t>
      </w:r>
      <w:r w:rsidR="00AE57F4" w:rsidRPr="007D4016">
        <w:rPr>
          <w:rFonts w:ascii="Times New Roman" w:hAnsi="Times New Roman"/>
          <w:sz w:val="24"/>
          <w:szCs w:val="24"/>
          <w:shd w:val="clear" w:color="auto" w:fill="FFFFFF"/>
          <w:lang w:val="en-US"/>
        </w:rPr>
        <w:t>Nevertheless</w:t>
      </w:r>
      <w:r w:rsidR="00691469" w:rsidRPr="007D4016">
        <w:rPr>
          <w:rFonts w:ascii="Times New Roman" w:hAnsi="Times New Roman"/>
          <w:sz w:val="24"/>
          <w:szCs w:val="24"/>
          <w:shd w:val="clear" w:color="auto" w:fill="FFFFFF"/>
          <w:lang w:val="en-US"/>
        </w:rPr>
        <w:t xml:space="preserve">, private sector institutions </w:t>
      </w:r>
      <w:r w:rsidR="00AE57F4" w:rsidRPr="007D4016">
        <w:rPr>
          <w:rFonts w:ascii="Times New Roman" w:hAnsi="Times New Roman"/>
          <w:sz w:val="24"/>
          <w:szCs w:val="24"/>
          <w:shd w:val="clear" w:color="auto" w:fill="FFFFFF"/>
          <w:lang w:val="en-US"/>
        </w:rPr>
        <w:t xml:space="preserve">continue to </w:t>
      </w:r>
      <w:r w:rsidR="00691469" w:rsidRPr="007D4016">
        <w:rPr>
          <w:rFonts w:ascii="Times New Roman" w:hAnsi="Times New Roman"/>
          <w:sz w:val="24"/>
          <w:szCs w:val="24"/>
          <w:lang w:val="en-US" w:eastAsia="en-GB"/>
        </w:rPr>
        <w:t xml:space="preserve">absorb </w:t>
      </w:r>
      <w:r w:rsidR="00683419" w:rsidRPr="007D4016">
        <w:rPr>
          <w:rFonts w:ascii="Times New Roman" w:hAnsi="Times New Roman"/>
          <w:sz w:val="24"/>
          <w:szCs w:val="24"/>
          <w:lang w:val="en-US" w:eastAsia="en-GB"/>
        </w:rPr>
        <w:t xml:space="preserve">a relatively small share of the entire student body: </w:t>
      </w:r>
      <w:r w:rsidR="00691469" w:rsidRPr="007D4016">
        <w:rPr>
          <w:rFonts w:ascii="Times New Roman" w:hAnsi="Times New Roman"/>
          <w:sz w:val="24"/>
          <w:szCs w:val="24"/>
          <w:lang w:val="en-US" w:eastAsia="en-GB"/>
        </w:rPr>
        <w:t>on average about 19% of the student population in the region, but with varying proportions in different countries</w:t>
      </w:r>
      <w:r w:rsidR="00AE57F4" w:rsidRPr="007D4016">
        <w:rPr>
          <w:rFonts w:ascii="Times New Roman" w:hAnsi="Times New Roman"/>
          <w:sz w:val="24"/>
          <w:szCs w:val="24"/>
          <w:lang w:val="en-US" w:eastAsia="en-GB"/>
        </w:rPr>
        <w:t xml:space="preserve"> </w:t>
      </w:r>
      <w:r w:rsidR="00691469" w:rsidRPr="007D4016">
        <w:rPr>
          <w:rFonts w:ascii="Times New Roman" w:hAnsi="Times New Roman"/>
          <w:sz w:val="24"/>
          <w:szCs w:val="24"/>
          <w:lang w:val="en-US" w:eastAsia="en-GB"/>
        </w:rPr>
        <w:t xml:space="preserve">(see Figure </w:t>
      </w:r>
      <w:r w:rsidR="00683419" w:rsidRPr="007D4016">
        <w:rPr>
          <w:rFonts w:ascii="Times New Roman" w:hAnsi="Times New Roman"/>
          <w:sz w:val="24"/>
          <w:szCs w:val="24"/>
          <w:lang w:val="en-US" w:eastAsia="en-GB"/>
        </w:rPr>
        <w:t>2</w:t>
      </w:r>
      <w:r w:rsidR="00691469" w:rsidRPr="007D4016">
        <w:rPr>
          <w:rFonts w:ascii="Times New Roman" w:hAnsi="Times New Roman"/>
          <w:sz w:val="24"/>
          <w:szCs w:val="24"/>
          <w:lang w:val="en-US" w:eastAsia="en-GB"/>
        </w:rPr>
        <w:t xml:space="preserve">). </w:t>
      </w:r>
      <w:r w:rsidR="00683419" w:rsidRPr="007D4016">
        <w:rPr>
          <w:rFonts w:ascii="Times New Roman" w:hAnsi="Times New Roman"/>
          <w:sz w:val="24"/>
          <w:szCs w:val="24"/>
          <w:lang w:val="en-US" w:eastAsia="en-GB"/>
        </w:rPr>
        <w:t>The</w:t>
      </w:r>
      <w:r w:rsidR="00691469" w:rsidRPr="007D4016">
        <w:rPr>
          <w:rFonts w:ascii="Times New Roman" w:hAnsi="Times New Roman"/>
          <w:sz w:val="24"/>
          <w:szCs w:val="24"/>
          <w:lang w:val="en-US" w:eastAsia="en-GB"/>
        </w:rPr>
        <w:t xml:space="preserve"> negative demographic trends in the region</w:t>
      </w:r>
      <w:r w:rsidR="00683419" w:rsidRPr="007D4016">
        <w:rPr>
          <w:rFonts w:ascii="Times New Roman" w:hAnsi="Times New Roman"/>
          <w:sz w:val="24"/>
          <w:szCs w:val="24"/>
          <w:lang w:val="en-US" w:eastAsia="en-GB"/>
        </w:rPr>
        <w:t xml:space="preserve"> are beginning to</w:t>
      </w:r>
      <w:r w:rsidR="00691469" w:rsidRPr="007D4016">
        <w:rPr>
          <w:rFonts w:ascii="Times New Roman" w:hAnsi="Times New Roman"/>
          <w:sz w:val="24"/>
          <w:szCs w:val="24"/>
          <w:lang w:val="en-US" w:eastAsia="en-GB"/>
        </w:rPr>
        <w:t xml:space="preserve"> slow down </w:t>
      </w:r>
      <w:r w:rsidR="00683419" w:rsidRPr="007D4016">
        <w:rPr>
          <w:rFonts w:ascii="Times New Roman" w:hAnsi="Times New Roman"/>
          <w:sz w:val="24"/>
          <w:szCs w:val="24"/>
          <w:lang w:val="en-US" w:eastAsia="en-GB"/>
        </w:rPr>
        <w:t xml:space="preserve">student demand </w:t>
      </w:r>
      <w:r w:rsidR="00691469" w:rsidRPr="007D4016">
        <w:rPr>
          <w:rFonts w:ascii="Times New Roman" w:hAnsi="Times New Roman"/>
          <w:sz w:val="24"/>
          <w:szCs w:val="24"/>
          <w:lang w:val="en-US" w:eastAsia="en-GB"/>
        </w:rPr>
        <w:t xml:space="preserve">and in Serbia and </w:t>
      </w:r>
      <w:r w:rsidR="00683419" w:rsidRPr="007D4016">
        <w:rPr>
          <w:rFonts w:ascii="Times New Roman" w:hAnsi="Times New Roman"/>
          <w:sz w:val="24"/>
          <w:szCs w:val="24"/>
          <w:lang w:val="en-US" w:eastAsia="en-GB"/>
        </w:rPr>
        <w:t xml:space="preserve">student </w:t>
      </w:r>
      <w:r w:rsidR="00691469" w:rsidRPr="007D4016">
        <w:rPr>
          <w:rFonts w:ascii="Times New Roman" w:hAnsi="Times New Roman"/>
          <w:sz w:val="24"/>
          <w:szCs w:val="24"/>
          <w:lang w:val="en-US" w:eastAsia="en-GB"/>
        </w:rPr>
        <w:t xml:space="preserve">enrolments </w:t>
      </w:r>
      <w:r w:rsidR="000579B8">
        <w:rPr>
          <w:rFonts w:ascii="Times New Roman" w:hAnsi="Times New Roman"/>
          <w:sz w:val="24"/>
          <w:szCs w:val="24"/>
          <w:lang w:val="en-US" w:eastAsia="en-GB"/>
        </w:rPr>
        <w:t xml:space="preserve">in Slovenia </w:t>
      </w:r>
      <w:r w:rsidR="00AE57F4" w:rsidRPr="007D4016">
        <w:rPr>
          <w:rFonts w:ascii="Times New Roman" w:hAnsi="Times New Roman"/>
          <w:sz w:val="24"/>
          <w:szCs w:val="24"/>
          <w:lang w:val="en-US" w:eastAsia="en-GB"/>
        </w:rPr>
        <w:t xml:space="preserve">already begun to decrease </w:t>
      </w:r>
      <w:r w:rsidR="00691469" w:rsidRPr="007D4016">
        <w:rPr>
          <w:rFonts w:ascii="Times New Roman" w:hAnsi="Times New Roman"/>
          <w:sz w:val="24"/>
          <w:szCs w:val="24"/>
          <w:lang w:val="en-US" w:eastAsia="en-GB"/>
        </w:rPr>
        <w:t xml:space="preserve">(Zgaga et al., 2013, p. 14; Levy, 2013). In turn, with </w:t>
      </w:r>
      <w:r w:rsidR="00ED40D7" w:rsidRPr="007D4016">
        <w:rPr>
          <w:rFonts w:ascii="Times New Roman" w:hAnsi="Times New Roman"/>
          <w:sz w:val="24"/>
          <w:szCs w:val="24"/>
          <w:lang w:val="en-US" w:eastAsia="en-GB"/>
        </w:rPr>
        <w:t xml:space="preserve">the </w:t>
      </w:r>
      <w:r w:rsidR="00691469" w:rsidRPr="007D4016">
        <w:rPr>
          <w:rFonts w:ascii="Times New Roman" w:hAnsi="Times New Roman"/>
          <w:sz w:val="24"/>
          <w:szCs w:val="24"/>
          <w:lang w:val="en-US" w:eastAsia="en-GB"/>
        </w:rPr>
        <w:t xml:space="preserve">exception of perhaps Kosovo, the growth in enrolments to private institutions has </w:t>
      </w:r>
      <w:r w:rsidR="00AE57F4" w:rsidRPr="007D4016">
        <w:rPr>
          <w:rFonts w:ascii="Times New Roman" w:hAnsi="Times New Roman"/>
          <w:sz w:val="24"/>
          <w:szCs w:val="24"/>
          <w:lang w:val="en-US" w:eastAsia="en-GB"/>
        </w:rPr>
        <w:t>been declining</w:t>
      </w:r>
      <w:r w:rsidR="00691469" w:rsidRPr="007D4016">
        <w:rPr>
          <w:rFonts w:ascii="Times New Roman" w:hAnsi="Times New Roman"/>
          <w:sz w:val="24"/>
          <w:szCs w:val="24"/>
          <w:lang w:val="en-US" w:eastAsia="en-GB"/>
        </w:rPr>
        <w:t>, and the same is the case with enrolments of “fee-paying” students to public higher education institu</w:t>
      </w:r>
      <w:r w:rsidR="00AE57F4" w:rsidRPr="007D4016">
        <w:rPr>
          <w:rFonts w:ascii="Times New Roman" w:hAnsi="Times New Roman"/>
          <w:sz w:val="24"/>
          <w:szCs w:val="24"/>
          <w:lang w:val="en-US" w:eastAsia="en-GB"/>
        </w:rPr>
        <w:t>tions (Branković, 2014). T</w:t>
      </w:r>
      <w:r w:rsidR="00691469" w:rsidRPr="007D4016">
        <w:rPr>
          <w:rFonts w:ascii="Times New Roman" w:hAnsi="Times New Roman"/>
          <w:sz w:val="24"/>
          <w:szCs w:val="24"/>
          <w:lang w:val="en-US" w:eastAsia="en-GB"/>
        </w:rPr>
        <w:t>he competition between public and private institutions for fee-paying students is becoming fiercer</w:t>
      </w:r>
      <w:r w:rsidR="000579B8">
        <w:rPr>
          <w:rFonts w:ascii="Times New Roman" w:hAnsi="Times New Roman"/>
          <w:sz w:val="24"/>
          <w:szCs w:val="24"/>
          <w:lang w:val="en-US" w:eastAsia="en-GB"/>
        </w:rPr>
        <w:t>,</w:t>
      </w:r>
      <w:r w:rsidR="00AE57F4" w:rsidRPr="007D4016">
        <w:rPr>
          <w:rFonts w:ascii="Times New Roman" w:hAnsi="Times New Roman"/>
          <w:sz w:val="24"/>
          <w:szCs w:val="24"/>
          <w:lang w:val="en-US" w:eastAsia="en-GB"/>
        </w:rPr>
        <w:t xml:space="preserve"> raising the question</w:t>
      </w:r>
      <w:r w:rsidR="000579B8">
        <w:rPr>
          <w:rFonts w:ascii="Times New Roman" w:hAnsi="Times New Roman"/>
          <w:sz w:val="24"/>
          <w:szCs w:val="24"/>
          <w:lang w:val="en-US" w:eastAsia="en-GB"/>
        </w:rPr>
        <w:t xml:space="preserve"> of</w:t>
      </w:r>
      <w:r w:rsidR="00AE57F4" w:rsidRPr="007D4016">
        <w:rPr>
          <w:rFonts w:ascii="Times New Roman" w:hAnsi="Times New Roman"/>
          <w:sz w:val="24"/>
          <w:szCs w:val="24"/>
          <w:lang w:val="en-US" w:eastAsia="en-GB"/>
        </w:rPr>
        <w:t xml:space="preserve"> how many higher education institutions are needed in these relatively small higher education systems (see Table 1 for number of higher education institutions per country). </w:t>
      </w:r>
    </w:p>
    <w:p w14:paraId="31C262E0" w14:textId="77777777" w:rsidR="00582D6F" w:rsidRPr="007D4016" w:rsidRDefault="00582D6F" w:rsidP="00691469">
      <w:pPr>
        <w:spacing w:after="0" w:line="240" w:lineRule="auto"/>
        <w:jc w:val="both"/>
        <w:rPr>
          <w:rFonts w:ascii="Times New Roman" w:hAnsi="Times New Roman"/>
          <w:b/>
          <w:sz w:val="24"/>
          <w:szCs w:val="24"/>
          <w:lang w:val="en-US" w:eastAsia="en-GB"/>
        </w:rPr>
      </w:pPr>
    </w:p>
    <w:p w14:paraId="0957F795" w14:textId="77777777" w:rsidR="00582D6F" w:rsidRPr="007D4016" w:rsidRDefault="00582D6F" w:rsidP="00691469">
      <w:pPr>
        <w:spacing w:after="0" w:line="240" w:lineRule="auto"/>
        <w:jc w:val="both"/>
        <w:rPr>
          <w:rFonts w:ascii="Times New Roman" w:hAnsi="Times New Roman"/>
          <w:b/>
          <w:sz w:val="24"/>
          <w:szCs w:val="24"/>
          <w:lang w:val="en-US" w:eastAsia="en-GB"/>
        </w:rPr>
      </w:pPr>
    </w:p>
    <w:p w14:paraId="0EC1B831" w14:textId="77777777" w:rsidR="00AE57F4" w:rsidRPr="007D4016" w:rsidRDefault="00AE57F4" w:rsidP="00691469">
      <w:pPr>
        <w:spacing w:after="0" w:line="240" w:lineRule="auto"/>
        <w:jc w:val="both"/>
        <w:rPr>
          <w:rFonts w:ascii="Times New Roman" w:hAnsi="Times New Roman"/>
          <w:b/>
          <w:sz w:val="24"/>
          <w:szCs w:val="24"/>
          <w:lang w:val="en-US" w:eastAsia="en-GB"/>
        </w:rPr>
      </w:pPr>
    </w:p>
    <w:p w14:paraId="38C3F7F5" w14:textId="77777777" w:rsidR="00AE57F4" w:rsidRDefault="00AE57F4" w:rsidP="00691469">
      <w:pPr>
        <w:spacing w:after="0" w:line="240" w:lineRule="auto"/>
        <w:jc w:val="both"/>
        <w:rPr>
          <w:rFonts w:ascii="Times New Roman" w:hAnsi="Times New Roman"/>
          <w:b/>
          <w:sz w:val="24"/>
          <w:szCs w:val="24"/>
          <w:lang w:val="en-US" w:eastAsia="en-GB"/>
        </w:rPr>
      </w:pPr>
    </w:p>
    <w:p w14:paraId="7803B537" w14:textId="77777777" w:rsidR="00F60F75" w:rsidRDefault="00F60F75" w:rsidP="00691469">
      <w:pPr>
        <w:spacing w:after="0" w:line="240" w:lineRule="auto"/>
        <w:jc w:val="both"/>
        <w:rPr>
          <w:rFonts w:ascii="Times New Roman" w:hAnsi="Times New Roman"/>
          <w:b/>
          <w:sz w:val="24"/>
          <w:szCs w:val="24"/>
          <w:lang w:val="en-US" w:eastAsia="en-GB"/>
        </w:rPr>
      </w:pPr>
    </w:p>
    <w:p w14:paraId="510C48C5" w14:textId="77777777" w:rsidR="00D74323" w:rsidRPr="007D4016" w:rsidRDefault="00D74323" w:rsidP="00691469">
      <w:pPr>
        <w:spacing w:after="0" w:line="240" w:lineRule="auto"/>
        <w:jc w:val="both"/>
        <w:rPr>
          <w:rFonts w:ascii="Times New Roman" w:hAnsi="Times New Roman"/>
          <w:b/>
          <w:sz w:val="24"/>
          <w:szCs w:val="24"/>
          <w:lang w:val="en-US" w:eastAsia="en-GB"/>
        </w:rPr>
      </w:pPr>
    </w:p>
    <w:p w14:paraId="5F509471" w14:textId="77777777" w:rsidR="00FF7270" w:rsidRPr="007D4016" w:rsidRDefault="00683419" w:rsidP="00691469">
      <w:pPr>
        <w:spacing w:after="0" w:line="240" w:lineRule="auto"/>
        <w:jc w:val="both"/>
        <w:rPr>
          <w:rFonts w:ascii="Times New Roman" w:hAnsi="Times New Roman"/>
          <w:b/>
          <w:sz w:val="24"/>
          <w:szCs w:val="24"/>
          <w:lang w:val="en-US" w:eastAsia="en-GB"/>
        </w:rPr>
      </w:pPr>
      <w:r w:rsidRPr="007D4016">
        <w:rPr>
          <w:rFonts w:ascii="Times New Roman" w:hAnsi="Times New Roman"/>
          <w:b/>
          <w:sz w:val="24"/>
          <w:szCs w:val="24"/>
          <w:lang w:val="en-US" w:eastAsia="en-GB"/>
        </w:rPr>
        <w:t xml:space="preserve">Figure 1: </w:t>
      </w:r>
      <w:r w:rsidR="00FF7270" w:rsidRPr="007D4016">
        <w:rPr>
          <w:rFonts w:ascii="Times New Roman" w:hAnsi="Times New Roman"/>
          <w:sz w:val="24"/>
          <w:szCs w:val="24"/>
          <w:lang w:val="en-US" w:eastAsia="en-GB"/>
        </w:rPr>
        <w:t xml:space="preserve">Students (in thousands) enrolled to higher education institutions, 1990/91 – 2010/2011 </w:t>
      </w:r>
    </w:p>
    <w:p w14:paraId="315B9BF4" w14:textId="77777777" w:rsidR="00FF7270" w:rsidRPr="007D4016" w:rsidRDefault="00FF7270" w:rsidP="00691469">
      <w:pPr>
        <w:spacing w:after="0" w:line="240" w:lineRule="auto"/>
        <w:jc w:val="both"/>
        <w:rPr>
          <w:rFonts w:ascii="Times New Roman" w:hAnsi="Times New Roman"/>
          <w:b/>
          <w:sz w:val="24"/>
          <w:szCs w:val="24"/>
          <w:lang w:val="en-US" w:eastAsia="en-GB"/>
        </w:rPr>
      </w:pPr>
      <w:r w:rsidRPr="007D4016">
        <w:rPr>
          <w:rFonts w:ascii="Times New Roman" w:hAnsi="Times New Roman"/>
          <w:b/>
          <w:noProof/>
          <w:sz w:val="24"/>
          <w:szCs w:val="24"/>
          <w:lang w:eastAsia="en-GB"/>
        </w:rPr>
        <w:drawing>
          <wp:inline distT="0" distB="0" distL="0" distR="0" wp14:anchorId="1E830FF4" wp14:editId="2507B65E">
            <wp:extent cx="4572000" cy="3686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8612" cy="3691506"/>
                    </a:xfrm>
                    <a:prstGeom prst="rect">
                      <a:avLst/>
                    </a:prstGeom>
                    <a:noFill/>
                  </pic:spPr>
                </pic:pic>
              </a:graphicData>
            </a:graphic>
          </wp:inline>
        </w:drawing>
      </w:r>
    </w:p>
    <w:p w14:paraId="227A9E82" w14:textId="0903181F" w:rsidR="00FF7270" w:rsidRDefault="00FF7270" w:rsidP="00691469">
      <w:pPr>
        <w:spacing w:after="0" w:line="240" w:lineRule="auto"/>
        <w:jc w:val="both"/>
        <w:rPr>
          <w:rFonts w:ascii="Times New Roman" w:hAnsi="Times New Roman"/>
          <w:sz w:val="24"/>
          <w:szCs w:val="24"/>
          <w:lang w:val="en-US" w:eastAsia="en-GB"/>
        </w:rPr>
      </w:pPr>
      <w:r w:rsidRPr="00D74323">
        <w:rPr>
          <w:rFonts w:ascii="Times New Roman" w:hAnsi="Times New Roman"/>
          <w:sz w:val="24"/>
          <w:szCs w:val="24"/>
          <w:lang w:val="en-US" w:eastAsia="en-GB"/>
        </w:rPr>
        <w:t>Note:</w:t>
      </w:r>
      <w:r w:rsidRPr="007D4016">
        <w:rPr>
          <w:rFonts w:ascii="Times New Roman" w:hAnsi="Times New Roman"/>
          <w:b/>
          <w:sz w:val="24"/>
          <w:szCs w:val="24"/>
          <w:lang w:val="en-US" w:eastAsia="en-GB"/>
        </w:rPr>
        <w:t xml:space="preserve"> </w:t>
      </w:r>
      <w:r w:rsidR="00243F2D" w:rsidRPr="008F0351">
        <w:rPr>
          <w:rFonts w:ascii="Times New Roman" w:hAnsi="Times New Roman"/>
          <w:sz w:val="24"/>
          <w:szCs w:val="24"/>
          <w:lang w:val="en-US" w:eastAsia="en-GB"/>
        </w:rPr>
        <w:t>Al – Albania, BA – Bosnia and Herzegovina, HR – Croatia, ME – Montenegro, MK – Former Yugoslav Republic of Macedonia,</w:t>
      </w:r>
      <w:r w:rsidR="00243F2D" w:rsidRPr="008F0351">
        <w:rPr>
          <w:rFonts w:ascii="Times New Roman" w:hAnsi="Times New Roman"/>
          <w:b/>
          <w:sz w:val="24"/>
          <w:szCs w:val="24"/>
          <w:lang w:val="en-US" w:eastAsia="en-GB"/>
        </w:rPr>
        <w:t xml:space="preserve"> </w:t>
      </w:r>
      <w:r w:rsidR="00243F2D" w:rsidRPr="008F0351">
        <w:rPr>
          <w:rFonts w:ascii="Times New Roman" w:hAnsi="Times New Roman"/>
          <w:sz w:val="24"/>
          <w:szCs w:val="24"/>
          <w:lang w:val="en-US" w:eastAsia="en-GB"/>
        </w:rPr>
        <w:t>KV – Kosovo, SI – Slovenia, SR – Serbia</w:t>
      </w:r>
      <w:r w:rsidR="00243F2D" w:rsidRPr="00243F2D">
        <w:rPr>
          <w:rFonts w:ascii="Times New Roman" w:hAnsi="Times New Roman"/>
          <w:sz w:val="24"/>
          <w:szCs w:val="24"/>
          <w:lang w:val="en-US" w:eastAsia="en-GB"/>
        </w:rPr>
        <w:t>;</w:t>
      </w:r>
      <w:r w:rsidR="00243F2D">
        <w:rPr>
          <w:rFonts w:ascii="Times New Roman" w:hAnsi="Times New Roman"/>
          <w:b/>
          <w:sz w:val="24"/>
          <w:szCs w:val="24"/>
          <w:lang w:val="en-US" w:eastAsia="en-GB"/>
        </w:rPr>
        <w:t xml:space="preserve"> </w:t>
      </w:r>
      <w:r w:rsidRPr="007D4016">
        <w:rPr>
          <w:rFonts w:ascii="Times New Roman" w:hAnsi="Times New Roman"/>
          <w:sz w:val="24"/>
          <w:szCs w:val="24"/>
          <w:lang w:val="en-US" w:eastAsia="en-GB"/>
        </w:rPr>
        <w:t>*ME – enrolled in 2002-2003; **AL – enrolled in 2009-2010</w:t>
      </w:r>
      <w:r w:rsidR="00D74323">
        <w:rPr>
          <w:rFonts w:ascii="Times New Roman" w:hAnsi="Times New Roman"/>
          <w:sz w:val="24"/>
          <w:szCs w:val="24"/>
          <w:lang w:val="en-US" w:eastAsia="en-GB"/>
        </w:rPr>
        <w:t>.</w:t>
      </w:r>
    </w:p>
    <w:p w14:paraId="551FA3E9" w14:textId="77777777" w:rsidR="00D74323" w:rsidRDefault="00D74323" w:rsidP="00691469">
      <w:pPr>
        <w:spacing w:after="0" w:line="240" w:lineRule="auto"/>
        <w:jc w:val="both"/>
        <w:rPr>
          <w:rFonts w:ascii="Times New Roman" w:hAnsi="Times New Roman"/>
          <w:sz w:val="24"/>
          <w:szCs w:val="24"/>
          <w:lang w:val="en-US" w:eastAsia="en-GB"/>
        </w:rPr>
      </w:pPr>
    </w:p>
    <w:p w14:paraId="39E014CF" w14:textId="77777777" w:rsidR="00D74323" w:rsidRPr="007D4016" w:rsidRDefault="00D74323" w:rsidP="00D74323">
      <w:pPr>
        <w:spacing w:after="0" w:line="240" w:lineRule="auto"/>
        <w:jc w:val="both"/>
        <w:rPr>
          <w:rFonts w:ascii="Times New Roman" w:hAnsi="Times New Roman"/>
          <w:b/>
          <w:sz w:val="24"/>
          <w:szCs w:val="24"/>
          <w:lang w:val="en-US" w:eastAsia="en-GB"/>
        </w:rPr>
      </w:pPr>
      <w:r w:rsidRPr="00D74323">
        <w:rPr>
          <w:rFonts w:ascii="Times New Roman" w:hAnsi="Times New Roman"/>
          <w:sz w:val="24"/>
          <w:szCs w:val="24"/>
          <w:lang w:val="en-US" w:eastAsia="en-GB"/>
        </w:rPr>
        <w:t>Source:</w:t>
      </w:r>
      <w:r w:rsidRPr="007D4016">
        <w:rPr>
          <w:rFonts w:ascii="Times New Roman" w:hAnsi="Times New Roman"/>
          <w:sz w:val="24"/>
          <w:szCs w:val="24"/>
          <w:lang w:val="en-US" w:eastAsia="en-GB"/>
        </w:rPr>
        <w:t xml:space="preserve"> Compiled from national statistics offices; Zgaga et al., 2012</w:t>
      </w:r>
      <w:r>
        <w:rPr>
          <w:rFonts w:ascii="Times New Roman" w:hAnsi="Times New Roman"/>
          <w:sz w:val="24"/>
          <w:szCs w:val="24"/>
          <w:lang w:val="en-US" w:eastAsia="en-GB"/>
        </w:rPr>
        <w:t>.</w:t>
      </w:r>
    </w:p>
    <w:p w14:paraId="648B2A01" w14:textId="77777777" w:rsidR="00D74323" w:rsidRPr="007D4016" w:rsidRDefault="00D74323" w:rsidP="00691469">
      <w:pPr>
        <w:spacing w:after="0" w:line="240" w:lineRule="auto"/>
        <w:jc w:val="both"/>
        <w:rPr>
          <w:rFonts w:ascii="Times New Roman" w:hAnsi="Times New Roman"/>
          <w:b/>
          <w:sz w:val="24"/>
          <w:szCs w:val="24"/>
          <w:lang w:val="en-US" w:eastAsia="en-GB"/>
        </w:rPr>
      </w:pPr>
    </w:p>
    <w:p w14:paraId="49D75C47" w14:textId="77777777" w:rsidR="00683419" w:rsidRPr="007D4016" w:rsidRDefault="00683419" w:rsidP="00691469">
      <w:pPr>
        <w:spacing w:after="0" w:line="240" w:lineRule="auto"/>
        <w:jc w:val="both"/>
        <w:rPr>
          <w:rFonts w:ascii="Times New Roman" w:hAnsi="Times New Roman"/>
          <w:b/>
          <w:sz w:val="24"/>
          <w:szCs w:val="24"/>
          <w:lang w:val="en-US" w:eastAsia="en-GB"/>
        </w:rPr>
      </w:pPr>
    </w:p>
    <w:p w14:paraId="65FBE98E" w14:textId="414C01E1" w:rsidR="00691469" w:rsidRPr="007D4016" w:rsidRDefault="00683419" w:rsidP="00691469">
      <w:pPr>
        <w:spacing w:after="0" w:line="240" w:lineRule="auto"/>
        <w:jc w:val="both"/>
        <w:rPr>
          <w:rFonts w:ascii="Times New Roman" w:hAnsi="Times New Roman"/>
          <w:sz w:val="24"/>
          <w:szCs w:val="24"/>
          <w:lang w:val="en-US" w:eastAsia="en-GB"/>
        </w:rPr>
      </w:pPr>
      <w:r w:rsidRPr="007D4016">
        <w:rPr>
          <w:rFonts w:ascii="Times New Roman" w:hAnsi="Times New Roman"/>
          <w:b/>
          <w:sz w:val="24"/>
          <w:szCs w:val="24"/>
          <w:lang w:val="en-US" w:eastAsia="en-GB"/>
        </w:rPr>
        <w:t>Figure 2</w:t>
      </w:r>
      <w:r w:rsidR="00691469" w:rsidRPr="007D4016">
        <w:rPr>
          <w:rFonts w:ascii="Times New Roman" w:hAnsi="Times New Roman"/>
          <w:sz w:val="24"/>
          <w:szCs w:val="24"/>
          <w:lang w:val="en-US" w:eastAsia="en-GB"/>
        </w:rPr>
        <w:t xml:space="preserve">: Students enrolled in public higher education institutions </w:t>
      </w:r>
      <w:r w:rsidR="00D74323">
        <w:rPr>
          <w:rFonts w:ascii="Times New Roman" w:hAnsi="Times New Roman"/>
          <w:sz w:val="24"/>
          <w:szCs w:val="24"/>
          <w:lang w:val="en-US" w:eastAsia="en-GB"/>
        </w:rPr>
        <w:t>(</w:t>
      </w:r>
      <w:r w:rsidR="00691469" w:rsidRPr="007D4016">
        <w:rPr>
          <w:rFonts w:ascii="Times New Roman" w:hAnsi="Times New Roman"/>
          <w:sz w:val="24"/>
          <w:szCs w:val="24"/>
          <w:lang w:val="en-US" w:eastAsia="en-GB"/>
        </w:rPr>
        <w:t>percentage by countries</w:t>
      </w:r>
      <w:r w:rsidR="00D74323">
        <w:rPr>
          <w:rFonts w:ascii="Times New Roman" w:hAnsi="Times New Roman"/>
          <w:sz w:val="24"/>
          <w:szCs w:val="24"/>
          <w:lang w:val="en-US" w:eastAsia="en-GB"/>
        </w:rPr>
        <w:t>)</w:t>
      </w:r>
      <w:r w:rsidR="00CB3075" w:rsidRPr="007D4016">
        <w:rPr>
          <w:rFonts w:ascii="Times New Roman" w:hAnsi="Times New Roman"/>
          <w:sz w:val="24"/>
          <w:szCs w:val="24"/>
          <w:lang w:val="en-US" w:eastAsia="en-GB"/>
        </w:rPr>
        <w:t xml:space="preserve"> </w:t>
      </w:r>
    </w:p>
    <w:p w14:paraId="0C3BDDA8" w14:textId="77777777" w:rsidR="00691469" w:rsidRPr="007D4016" w:rsidRDefault="00691469" w:rsidP="00691469">
      <w:pPr>
        <w:spacing w:after="0" w:line="240" w:lineRule="auto"/>
        <w:jc w:val="both"/>
        <w:rPr>
          <w:rFonts w:ascii="Times New Roman" w:hAnsi="Times New Roman"/>
          <w:sz w:val="24"/>
          <w:szCs w:val="24"/>
          <w:lang w:val="en-US" w:eastAsia="en-GB"/>
        </w:rPr>
      </w:pPr>
      <w:r w:rsidRPr="007D4016">
        <w:rPr>
          <w:rFonts w:ascii="Times New Roman" w:hAnsi="Times New Roman"/>
          <w:noProof/>
          <w:sz w:val="24"/>
          <w:szCs w:val="24"/>
          <w:lang w:eastAsia="en-GB"/>
        </w:rPr>
        <w:drawing>
          <wp:inline distT="0" distB="0" distL="0" distR="0" wp14:anchorId="33EC0CDD" wp14:editId="01B65687">
            <wp:extent cx="45720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B32D2D" w14:textId="77777777" w:rsidR="003E5340" w:rsidRPr="007D4016" w:rsidRDefault="00691469" w:rsidP="00691469">
      <w:pPr>
        <w:spacing w:after="0"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Note: *These data present the number of enrolled students in public higher education institutions in Bosnia and Herzegovina: the Federation of Bosnia and Herzegovina and the Republic of Srbska, but without data for the Brčko District. Data for the Brčko District could not be obtained. </w:t>
      </w:r>
    </w:p>
    <w:p w14:paraId="6C9D62A9" w14:textId="06E05FB7" w:rsidR="00D74323" w:rsidRPr="007D4016" w:rsidRDefault="00D74323" w:rsidP="00D74323">
      <w:pPr>
        <w:spacing w:after="0"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Source: Compiled from national statistics offices; Zgaga et al., 2012</w:t>
      </w:r>
      <w:r>
        <w:rPr>
          <w:rFonts w:ascii="Times New Roman" w:hAnsi="Times New Roman"/>
          <w:sz w:val="24"/>
          <w:szCs w:val="24"/>
          <w:lang w:val="en-US" w:eastAsia="en-GB"/>
        </w:rPr>
        <w:t>.</w:t>
      </w:r>
    </w:p>
    <w:p w14:paraId="6CDED4F1" w14:textId="77777777" w:rsidR="00D74323" w:rsidRDefault="00D74323" w:rsidP="00CB3075">
      <w:pPr>
        <w:spacing w:after="100" w:afterAutospacing="1" w:line="240" w:lineRule="auto"/>
        <w:jc w:val="both"/>
        <w:rPr>
          <w:rFonts w:ascii="Times New Roman" w:hAnsi="Times New Roman"/>
          <w:sz w:val="24"/>
          <w:szCs w:val="24"/>
          <w:lang w:val="en-US" w:eastAsia="en-GB"/>
        </w:rPr>
      </w:pPr>
    </w:p>
    <w:p w14:paraId="6FF5B8CA" w14:textId="68C4A0B5" w:rsidR="00CB3075" w:rsidRPr="007D4016" w:rsidRDefault="00CB3075" w:rsidP="00CB3075">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Table 1: Number of</w:t>
      </w:r>
      <w:r w:rsidRPr="007D4016">
        <w:rPr>
          <w:rFonts w:ascii="Times New Roman" w:hAnsi="Times New Roman"/>
          <w:i/>
          <w:sz w:val="24"/>
          <w:szCs w:val="24"/>
          <w:lang w:val="en-US" w:eastAsia="en-GB"/>
        </w:rPr>
        <w:t xml:space="preserve"> </w:t>
      </w:r>
      <w:r w:rsidRPr="007D4016">
        <w:rPr>
          <w:rFonts w:ascii="Times New Roman" w:hAnsi="Times New Roman"/>
          <w:sz w:val="24"/>
          <w:szCs w:val="24"/>
          <w:lang w:val="en-US" w:eastAsia="en-GB"/>
        </w:rPr>
        <w:t xml:space="preserve">higher education institutions per country: university and non-university, private and public (2010/11) </w:t>
      </w:r>
    </w:p>
    <w:tbl>
      <w:tblPr>
        <w:tblW w:w="9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1290"/>
        <w:gridCol w:w="1513"/>
        <w:gridCol w:w="1513"/>
        <w:gridCol w:w="1513"/>
        <w:gridCol w:w="1513"/>
        <w:gridCol w:w="1513"/>
      </w:tblGrid>
      <w:tr w:rsidR="00CB3075" w:rsidRPr="007D4016" w14:paraId="13F5445E" w14:textId="77777777" w:rsidTr="00D74323">
        <w:trPr>
          <w:trHeight w:val="802"/>
        </w:trPr>
        <w:tc>
          <w:tcPr>
            <w:tcW w:w="828" w:type="dxa"/>
          </w:tcPr>
          <w:p w14:paraId="40BF0888"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Country</w:t>
            </w:r>
          </w:p>
        </w:tc>
        <w:tc>
          <w:tcPr>
            <w:tcW w:w="1290" w:type="dxa"/>
          </w:tcPr>
          <w:p w14:paraId="7BB719A7"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All public</w:t>
            </w:r>
          </w:p>
        </w:tc>
        <w:tc>
          <w:tcPr>
            <w:tcW w:w="1513" w:type="dxa"/>
          </w:tcPr>
          <w:p w14:paraId="3A600A1D"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Public university</w:t>
            </w:r>
          </w:p>
        </w:tc>
        <w:tc>
          <w:tcPr>
            <w:tcW w:w="1513" w:type="dxa"/>
          </w:tcPr>
          <w:p w14:paraId="1170CA7D"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Public non-university</w:t>
            </w:r>
          </w:p>
        </w:tc>
        <w:tc>
          <w:tcPr>
            <w:tcW w:w="1513" w:type="dxa"/>
          </w:tcPr>
          <w:p w14:paraId="2F14C99F"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All private institutions*</w:t>
            </w:r>
          </w:p>
        </w:tc>
        <w:tc>
          <w:tcPr>
            <w:tcW w:w="1513" w:type="dxa"/>
          </w:tcPr>
          <w:p w14:paraId="4B8792AE"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Private university</w:t>
            </w:r>
          </w:p>
        </w:tc>
        <w:tc>
          <w:tcPr>
            <w:tcW w:w="1513" w:type="dxa"/>
          </w:tcPr>
          <w:p w14:paraId="2B1306B6"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Private non-university</w:t>
            </w:r>
          </w:p>
        </w:tc>
      </w:tr>
      <w:tr w:rsidR="00CB3075" w:rsidRPr="007D4016" w14:paraId="7D673758" w14:textId="77777777" w:rsidTr="00D74323">
        <w:trPr>
          <w:trHeight w:val="502"/>
        </w:trPr>
        <w:tc>
          <w:tcPr>
            <w:tcW w:w="828" w:type="dxa"/>
          </w:tcPr>
          <w:p w14:paraId="434C923B"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AL</w:t>
            </w:r>
          </w:p>
        </w:tc>
        <w:tc>
          <w:tcPr>
            <w:tcW w:w="1290" w:type="dxa"/>
          </w:tcPr>
          <w:p w14:paraId="6B92B13B"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14</w:t>
            </w:r>
          </w:p>
        </w:tc>
        <w:tc>
          <w:tcPr>
            <w:tcW w:w="1513" w:type="dxa"/>
          </w:tcPr>
          <w:p w14:paraId="75A60F6E"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10</w:t>
            </w:r>
          </w:p>
        </w:tc>
        <w:tc>
          <w:tcPr>
            <w:tcW w:w="1513" w:type="dxa"/>
          </w:tcPr>
          <w:p w14:paraId="7EAAD77B"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4</w:t>
            </w:r>
          </w:p>
        </w:tc>
        <w:tc>
          <w:tcPr>
            <w:tcW w:w="1513" w:type="dxa"/>
          </w:tcPr>
          <w:p w14:paraId="7B1998DE"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46</w:t>
            </w:r>
          </w:p>
        </w:tc>
        <w:tc>
          <w:tcPr>
            <w:tcW w:w="1513" w:type="dxa"/>
          </w:tcPr>
          <w:p w14:paraId="200A8159"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3</w:t>
            </w:r>
          </w:p>
        </w:tc>
        <w:tc>
          <w:tcPr>
            <w:tcW w:w="1513" w:type="dxa"/>
          </w:tcPr>
          <w:p w14:paraId="4E11012F"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43</w:t>
            </w:r>
          </w:p>
        </w:tc>
      </w:tr>
      <w:tr w:rsidR="00CB3075" w:rsidRPr="007D4016" w14:paraId="7289840B" w14:textId="77777777" w:rsidTr="00D74323">
        <w:trPr>
          <w:trHeight w:val="502"/>
        </w:trPr>
        <w:tc>
          <w:tcPr>
            <w:tcW w:w="828" w:type="dxa"/>
          </w:tcPr>
          <w:p w14:paraId="7BC331E9"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BA</w:t>
            </w:r>
          </w:p>
        </w:tc>
        <w:tc>
          <w:tcPr>
            <w:tcW w:w="1290" w:type="dxa"/>
          </w:tcPr>
          <w:p w14:paraId="0A5EBD18"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10</w:t>
            </w:r>
          </w:p>
        </w:tc>
        <w:tc>
          <w:tcPr>
            <w:tcW w:w="1513" w:type="dxa"/>
          </w:tcPr>
          <w:p w14:paraId="6F890886"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8</w:t>
            </w:r>
          </w:p>
        </w:tc>
        <w:tc>
          <w:tcPr>
            <w:tcW w:w="1513" w:type="dxa"/>
          </w:tcPr>
          <w:p w14:paraId="7718EF77"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2</w:t>
            </w:r>
          </w:p>
        </w:tc>
        <w:tc>
          <w:tcPr>
            <w:tcW w:w="1513" w:type="dxa"/>
          </w:tcPr>
          <w:p w14:paraId="12A7B2ED"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33</w:t>
            </w:r>
          </w:p>
        </w:tc>
        <w:tc>
          <w:tcPr>
            <w:tcW w:w="1513" w:type="dxa"/>
          </w:tcPr>
          <w:p w14:paraId="4687E9F7"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17</w:t>
            </w:r>
          </w:p>
        </w:tc>
        <w:tc>
          <w:tcPr>
            <w:tcW w:w="1513" w:type="dxa"/>
          </w:tcPr>
          <w:p w14:paraId="67278796"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16</w:t>
            </w:r>
          </w:p>
        </w:tc>
      </w:tr>
      <w:tr w:rsidR="00CB3075" w:rsidRPr="007D4016" w14:paraId="703C49D1" w14:textId="77777777" w:rsidTr="00D74323">
        <w:trPr>
          <w:trHeight w:val="502"/>
        </w:trPr>
        <w:tc>
          <w:tcPr>
            <w:tcW w:w="828" w:type="dxa"/>
          </w:tcPr>
          <w:p w14:paraId="209B922F"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CR</w:t>
            </w:r>
          </w:p>
        </w:tc>
        <w:tc>
          <w:tcPr>
            <w:tcW w:w="1290" w:type="dxa"/>
          </w:tcPr>
          <w:p w14:paraId="0B43D60A"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22</w:t>
            </w:r>
          </w:p>
        </w:tc>
        <w:tc>
          <w:tcPr>
            <w:tcW w:w="1513" w:type="dxa"/>
          </w:tcPr>
          <w:p w14:paraId="4477039E"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7</w:t>
            </w:r>
          </w:p>
        </w:tc>
        <w:tc>
          <w:tcPr>
            <w:tcW w:w="1513" w:type="dxa"/>
          </w:tcPr>
          <w:p w14:paraId="24D290E7"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15</w:t>
            </w:r>
          </w:p>
        </w:tc>
        <w:tc>
          <w:tcPr>
            <w:tcW w:w="1513" w:type="dxa"/>
          </w:tcPr>
          <w:p w14:paraId="3D0DB2DA"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33</w:t>
            </w:r>
          </w:p>
        </w:tc>
        <w:tc>
          <w:tcPr>
            <w:tcW w:w="1513" w:type="dxa"/>
          </w:tcPr>
          <w:p w14:paraId="5193333B"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3</w:t>
            </w:r>
          </w:p>
        </w:tc>
        <w:tc>
          <w:tcPr>
            <w:tcW w:w="1513" w:type="dxa"/>
          </w:tcPr>
          <w:p w14:paraId="172136B4"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30</w:t>
            </w:r>
          </w:p>
        </w:tc>
      </w:tr>
      <w:tr w:rsidR="00CB3075" w:rsidRPr="007D4016" w14:paraId="773A98DE" w14:textId="77777777" w:rsidTr="00D74323">
        <w:trPr>
          <w:trHeight w:val="502"/>
        </w:trPr>
        <w:tc>
          <w:tcPr>
            <w:tcW w:w="828" w:type="dxa"/>
          </w:tcPr>
          <w:p w14:paraId="53E8BA21"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KV**</w:t>
            </w:r>
          </w:p>
        </w:tc>
        <w:tc>
          <w:tcPr>
            <w:tcW w:w="1290" w:type="dxa"/>
          </w:tcPr>
          <w:p w14:paraId="223970B6"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5</w:t>
            </w:r>
          </w:p>
        </w:tc>
        <w:tc>
          <w:tcPr>
            <w:tcW w:w="1513" w:type="dxa"/>
          </w:tcPr>
          <w:p w14:paraId="10A5BF1A"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4</w:t>
            </w:r>
          </w:p>
        </w:tc>
        <w:tc>
          <w:tcPr>
            <w:tcW w:w="1513" w:type="dxa"/>
          </w:tcPr>
          <w:p w14:paraId="41A0F8C6"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1</w:t>
            </w:r>
          </w:p>
        </w:tc>
        <w:tc>
          <w:tcPr>
            <w:tcW w:w="1513" w:type="dxa"/>
          </w:tcPr>
          <w:p w14:paraId="5774A3D6"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22</w:t>
            </w:r>
          </w:p>
        </w:tc>
        <w:tc>
          <w:tcPr>
            <w:tcW w:w="1513" w:type="dxa"/>
          </w:tcPr>
          <w:p w14:paraId="30BE35C4"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1</w:t>
            </w:r>
          </w:p>
        </w:tc>
        <w:tc>
          <w:tcPr>
            <w:tcW w:w="1513" w:type="dxa"/>
          </w:tcPr>
          <w:p w14:paraId="0C215EB2"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21</w:t>
            </w:r>
          </w:p>
        </w:tc>
      </w:tr>
      <w:tr w:rsidR="00CB3075" w:rsidRPr="007D4016" w14:paraId="1443EAAD" w14:textId="77777777" w:rsidTr="00D74323">
        <w:trPr>
          <w:trHeight w:val="502"/>
        </w:trPr>
        <w:tc>
          <w:tcPr>
            <w:tcW w:w="828" w:type="dxa"/>
          </w:tcPr>
          <w:p w14:paraId="1E07846C"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MK</w:t>
            </w:r>
          </w:p>
        </w:tc>
        <w:tc>
          <w:tcPr>
            <w:tcW w:w="1290" w:type="dxa"/>
          </w:tcPr>
          <w:p w14:paraId="216FDBCF"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5</w:t>
            </w:r>
          </w:p>
        </w:tc>
        <w:tc>
          <w:tcPr>
            <w:tcW w:w="1513" w:type="dxa"/>
          </w:tcPr>
          <w:p w14:paraId="5B504CFE"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5</w:t>
            </w:r>
          </w:p>
        </w:tc>
        <w:tc>
          <w:tcPr>
            <w:tcW w:w="1513" w:type="dxa"/>
          </w:tcPr>
          <w:p w14:paraId="32A6A057"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0</w:t>
            </w:r>
          </w:p>
        </w:tc>
        <w:tc>
          <w:tcPr>
            <w:tcW w:w="1513" w:type="dxa"/>
          </w:tcPr>
          <w:p w14:paraId="3D61EAF2"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19</w:t>
            </w:r>
          </w:p>
        </w:tc>
        <w:tc>
          <w:tcPr>
            <w:tcW w:w="1513" w:type="dxa"/>
          </w:tcPr>
          <w:p w14:paraId="707F085F"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10</w:t>
            </w:r>
          </w:p>
        </w:tc>
        <w:tc>
          <w:tcPr>
            <w:tcW w:w="1513" w:type="dxa"/>
          </w:tcPr>
          <w:p w14:paraId="54712922"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9</w:t>
            </w:r>
          </w:p>
        </w:tc>
      </w:tr>
      <w:tr w:rsidR="00CB3075" w:rsidRPr="007D4016" w14:paraId="67A8D5AD" w14:textId="77777777" w:rsidTr="00D74323">
        <w:trPr>
          <w:trHeight w:val="502"/>
        </w:trPr>
        <w:tc>
          <w:tcPr>
            <w:tcW w:w="828" w:type="dxa"/>
          </w:tcPr>
          <w:p w14:paraId="0C8EA2DA"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ME</w:t>
            </w:r>
          </w:p>
        </w:tc>
        <w:tc>
          <w:tcPr>
            <w:tcW w:w="1290" w:type="dxa"/>
          </w:tcPr>
          <w:p w14:paraId="570A3AEB"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1</w:t>
            </w:r>
          </w:p>
        </w:tc>
        <w:tc>
          <w:tcPr>
            <w:tcW w:w="1513" w:type="dxa"/>
          </w:tcPr>
          <w:p w14:paraId="3E832C47"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1</w:t>
            </w:r>
          </w:p>
        </w:tc>
        <w:tc>
          <w:tcPr>
            <w:tcW w:w="1513" w:type="dxa"/>
          </w:tcPr>
          <w:p w14:paraId="494670A4"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0</w:t>
            </w:r>
          </w:p>
        </w:tc>
        <w:tc>
          <w:tcPr>
            <w:tcW w:w="1513" w:type="dxa"/>
          </w:tcPr>
          <w:p w14:paraId="2E5C1D0B"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9</w:t>
            </w:r>
          </w:p>
        </w:tc>
        <w:tc>
          <w:tcPr>
            <w:tcW w:w="1513" w:type="dxa"/>
          </w:tcPr>
          <w:p w14:paraId="1ED30431"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2</w:t>
            </w:r>
          </w:p>
        </w:tc>
        <w:tc>
          <w:tcPr>
            <w:tcW w:w="1513" w:type="dxa"/>
          </w:tcPr>
          <w:p w14:paraId="2054936F"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7</w:t>
            </w:r>
          </w:p>
        </w:tc>
      </w:tr>
      <w:tr w:rsidR="00CB3075" w:rsidRPr="007D4016" w14:paraId="69C25228" w14:textId="77777777" w:rsidTr="00D74323">
        <w:trPr>
          <w:trHeight w:val="502"/>
        </w:trPr>
        <w:tc>
          <w:tcPr>
            <w:tcW w:w="828" w:type="dxa"/>
          </w:tcPr>
          <w:p w14:paraId="531A2B35"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SR</w:t>
            </w:r>
          </w:p>
        </w:tc>
        <w:tc>
          <w:tcPr>
            <w:tcW w:w="1290" w:type="dxa"/>
          </w:tcPr>
          <w:p w14:paraId="2DF87688"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50</w:t>
            </w:r>
          </w:p>
        </w:tc>
        <w:tc>
          <w:tcPr>
            <w:tcW w:w="1513" w:type="dxa"/>
          </w:tcPr>
          <w:p w14:paraId="2FE816EC"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7***</w:t>
            </w:r>
          </w:p>
        </w:tc>
        <w:tc>
          <w:tcPr>
            <w:tcW w:w="1513" w:type="dxa"/>
          </w:tcPr>
          <w:p w14:paraId="75C43B91"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42</w:t>
            </w:r>
          </w:p>
        </w:tc>
        <w:tc>
          <w:tcPr>
            <w:tcW w:w="1513" w:type="dxa"/>
          </w:tcPr>
          <w:p w14:paraId="042E0FBB"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23</w:t>
            </w:r>
          </w:p>
        </w:tc>
        <w:tc>
          <w:tcPr>
            <w:tcW w:w="1513" w:type="dxa"/>
          </w:tcPr>
          <w:p w14:paraId="761E3BB1"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8</w:t>
            </w:r>
          </w:p>
        </w:tc>
        <w:tc>
          <w:tcPr>
            <w:tcW w:w="1513" w:type="dxa"/>
          </w:tcPr>
          <w:p w14:paraId="00E4EF70"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16</w:t>
            </w:r>
          </w:p>
        </w:tc>
      </w:tr>
      <w:tr w:rsidR="00CB3075" w:rsidRPr="007D4016" w14:paraId="6933B12B" w14:textId="77777777" w:rsidTr="00D74323">
        <w:trPr>
          <w:trHeight w:val="502"/>
        </w:trPr>
        <w:tc>
          <w:tcPr>
            <w:tcW w:w="828" w:type="dxa"/>
          </w:tcPr>
          <w:p w14:paraId="5ED6CAC2"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SI</w:t>
            </w:r>
          </w:p>
        </w:tc>
        <w:tc>
          <w:tcPr>
            <w:tcW w:w="1290" w:type="dxa"/>
          </w:tcPr>
          <w:p w14:paraId="712D4DF0"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4</w:t>
            </w:r>
          </w:p>
        </w:tc>
        <w:tc>
          <w:tcPr>
            <w:tcW w:w="1513" w:type="dxa"/>
          </w:tcPr>
          <w:p w14:paraId="7213EBBE"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3</w:t>
            </w:r>
          </w:p>
        </w:tc>
        <w:tc>
          <w:tcPr>
            <w:tcW w:w="1513" w:type="dxa"/>
          </w:tcPr>
          <w:p w14:paraId="0147C619"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1</w:t>
            </w:r>
          </w:p>
        </w:tc>
        <w:tc>
          <w:tcPr>
            <w:tcW w:w="1513" w:type="dxa"/>
          </w:tcPr>
          <w:p w14:paraId="39875A1D" w14:textId="77777777" w:rsidR="00CB3075" w:rsidRPr="007D4016" w:rsidRDefault="00CB3075" w:rsidP="009A72F4">
            <w:pPr>
              <w:rPr>
                <w:rFonts w:ascii="Times New Roman" w:hAnsi="Times New Roman"/>
                <w:b/>
                <w:sz w:val="24"/>
                <w:szCs w:val="24"/>
                <w:lang w:val="en-US" w:eastAsia="en-GB"/>
              </w:rPr>
            </w:pPr>
            <w:r w:rsidRPr="007D4016">
              <w:rPr>
                <w:rFonts w:ascii="Times New Roman" w:hAnsi="Times New Roman"/>
                <w:b/>
                <w:sz w:val="24"/>
                <w:szCs w:val="24"/>
                <w:lang w:val="en-US" w:eastAsia="en-GB"/>
              </w:rPr>
              <w:t>41</w:t>
            </w:r>
          </w:p>
        </w:tc>
        <w:tc>
          <w:tcPr>
            <w:tcW w:w="1513" w:type="dxa"/>
          </w:tcPr>
          <w:p w14:paraId="1898EABF"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2</w:t>
            </w:r>
          </w:p>
        </w:tc>
        <w:tc>
          <w:tcPr>
            <w:tcW w:w="1513" w:type="dxa"/>
          </w:tcPr>
          <w:p w14:paraId="3D726905" w14:textId="77777777" w:rsidR="00CB3075" w:rsidRPr="007D4016" w:rsidRDefault="00CB3075" w:rsidP="009A72F4">
            <w:pPr>
              <w:rPr>
                <w:rFonts w:ascii="Times New Roman" w:hAnsi="Times New Roman"/>
                <w:sz w:val="24"/>
                <w:szCs w:val="24"/>
                <w:lang w:val="en-US" w:eastAsia="en-GB"/>
              </w:rPr>
            </w:pPr>
            <w:r w:rsidRPr="007D4016">
              <w:rPr>
                <w:rFonts w:ascii="Times New Roman" w:hAnsi="Times New Roman"/>
                <w:sz w:val="24"/>
                <w:szCs w:val="24"/>
                <w:lang w:val="en-US" w:eastAsia="en-GB"/>
              </w:rPr>
              <w:t>39</w:t>
            </w:r>
          </w:p>
        </w:tc>
      </w:tr>
    </w:tbl>
    <w:p w14:paraId="7F209BFA" w14:textId="77777777" w:rsidR="00CB3075" w:rsidRPr="007D4016" w:rsidRDefault="00CB3075" w:rsidP="00CB3075">
      <w:pPr>
        <w:autoSpaceDE w:val="0"/>
        <w:autoSpaceDN w:val="0"/>
        <w:adjustRightInd w:val="0"/>
        <w:spacing w:after="0" w:line="240" w:lineRule="auto"/>
        <w:jc w:val="both"/>
        <w:rPr>
          <w:rFonts w:ascii="Times New Roman" w:eastAsiaTheme="minorHAnsi" w:hAnsi="Times New Roman"/>
          <w:sz w:val="24"/>
          <w:szCs w:val="24"/>
          <w:lang w:val="en-US"/>
        </w:rPr>
      </w:pPr>
      <w:r w:rsidRPr="007D4016">
        <w:rPr>
          <w:rFonts w:ascii="Times New Roman" w:hAnsi="Times New Roman"/>
          <w:sz w:val="24"/>
          <w:szCs w:val="24"/>
          <w:lang w:val="en-US" w:eastAsia="en-GB"/>
        </w:rPr>
        <w:t xml:space="preserve">Note: </w:t>
      </w:r>
      <w:r w:rsidRPr="007D4016">
        <w:rPr>
          <w:rFonts w:ascii="Times New Roman" w:eastAsiaTheme="minorHAnsi" w:hAnsi="Times New Roman"/>
          <w:b/>
          <w:bCs/>
          <w:sz w:val="24"/>
          <w:szCs w:val="24"/>
          <w:lang w:val="en-US"/>
        </w:rPr>
        <w:t xml:space="preserve">* </w:t>
      </w:r>
      <w:r w:rsidRPr="007D4016">
        <w:rPr>
          <w:rFonts w:ascii="Times New Roman" w:eastAsiaTheme="minorHAnsi" w:hAnsi="Times New Roman"/>
          <w:sz w:val="24"/>
          <w:szCs w:val="24"/>
          <w:lang w:val="en-US"/>
        </w:rPr>
        <w:t>In the count of institutions we have not included the units of foreign universities in the region.</w:t>
      </w:r>
    </w:p>
    <w:p w14:paraId="210CD277" w14:textId="77777777" w:rsidR="00CB3075" w:rsidRPr="007D4016" w:rsidRDefault="00CB3075" w:rsidP="00CB3075">
      <w:pPr>
        <w:autoSpaceDE w:val="0"/>
        <w:autoSpaceDN w:val="0"/>
        <w:adjustRightInd w:val="0"/>
        <w:spacing w:after="0" w:line="240" w:lineRule="auto"/>
        <w:jc w:val="both"/>
        <w:rPr>
          <w:rFonts w:ascii="Times New Roman" w:eastAsiaTheme="minorHAnsi" w:hAnsi="Times New Roman"/>
          <w:sz w:val="24"/>
          <w:szCs w:val="24"/>
          <w:lang w:val="en-US"/>
        </w:rPr>
      </w:pPr>
      <w:r w:rsidRPr="007D4016">
        <w:rPr>
          <w:rFonts w:ascii="Times New Roman" w:eastAsiaTheme="minorHAnsi" w:hAnsi="Times New Roman"/>
          <w:b/>
          <w:bCs/>
          <w:sz w:val="24"/>
          <w:szCs w:val="24"/>
          <w:lang w:val="en-US"/>
        </w:rPr>
        <w:t xml:space="preserve">** </w:t>
      </w:r>
      <w:r w:rsidRPr="007D4016">
        <w:rPr>
          <w:rFonts w:ascii="Times New Roman" w:eastAsiaTheme="minorHAnsi" w:hAnsi="Times New Roman"/>
          <w:sz w:val="24"/>
          <w:szCs w:val="24"/>
          <w:lang w:val="en-US"/>
        </w:rPr>
        <w:t>Data for Kosovo are for 2012/13</w:t>
      </w:r>
    </w:p>
    <w:p w14:paraId="1533FF4F" w14:textId="5A56268E" w:rsidR="00AB13E2" w:rsidRDefault="00CB3075" w:rsidP="00F60F75">
      <w:pPr>
        <w:autoSpaceDE w:val="0"/>
        <w:autoSpaceDN w:val="0"/>
        <w:adjustRightInd w:val="0"/>
        <w:spacing w:after="0" w:line="240" w:lineRule="auto"/>
        <w:jc w:val="both"/>
        <w:rPr>
          <w:rFonts w:ascii="Times New Roman" w:hAnsi="Times New Roman"/>
          <w:sz w:val="24"/>
          <w:szCs w:val="24"/>
          <w:lang w:val="en-US" w:eastAsia="en-GB"/>
        </w:rPr>
      </w:pPr>
      <w:r w:rsidRPr="007D4016">
        <w:rPr>
          <w:rFonts w:ascii="Times New Roman" w:eastAsiaTheme="minorHAnsi" w:hAnsi="Times New Roman"/>
          <w:b/>
          <w:bCs/>
          <w:sz w:val="24"/>
          <w:szCs w:val="24"/>
          <w:lang w:val="en-US"/>
        </w:rPr>
        <w:t xml:space="preserve">*** </w:t>
      </w:r>
      <w:r w:rsidRPr="007D4016">
        <w:rPr>
          <w:rFonts w:ascii="Times New Roman" w:eastAsiaTheme="minorHAnsi" w:hAnsi="Times New Roman"/>
          <w:sz w:val="24"/>
          <w:szCs w:val="24"/>
          <w:lang w:val="en-US"/>
        </w:rPr>
        <w:t>In the official statistics of the Republic of Serbia, the University in Mitrovica (officially referred to as University of Priština, Kosovska Mitrovica) figures as the eight</w:t>
      </w:r>
      <w:r w:rsidR="008B6A5F" w:rsidRPr="007D4016">
        <w:rPr>
          <w:rFonts w:ascii="Times New Roman" w:eastAsiaTheme="minorHAnsi" w:hAnsi="Times New Roman"/>
          <w:sz w:val="24"/>
          <w:szCs w:val="24"/>
          <w:lang w:val="en-US"/>
        </w:rPr>
        <w:t>h</w:t>
      </w:r>
      <w:r w:rsidRPr="007D4016">
        <w:rPr>
          <w:rFonts w:ascii="Times New Roman" w:eastAsiaTheme="minorHAnsi" w:hAnsi="Times New Roman"/>
          <w:sz w:val="24"/>
          <w:szCs w:val="24"/>
          <w:lang w:val="en-US"/>
        </w:rPr>
        <w:t xml:space="preserve"> Serbian university; the institution is located in the territory of Kosovo (under UN resolution 1244) and therefore subject to political and territorial tensions. </w:t>
      </w:r>
    </w:p>
    <w:p w14:paraId="06D63545" w14:textId="77777777" w:rsidR="00D74323" w:rsidRPr="007D4016" w:rsidRDefault="00D74323" w:rsidP="004E2F45">
      <w:pPr>
        <w:spacing w:after="100" w:afterAutospacing="1" w:line="240" w:lineRule="auto"/>
        <w:jc w:val="both"/>
        <w:rPr>
          <w:rFonts w:ascii="Times New Roman" w:hAnsi="Times New Roman"/>
          <w:sz w:val="24"/>
          <w:szCs w:val="24"/>
          <w:lang w:val="en-US" w:eastAsia="en-GB"/>
        </w:rPr>
      </w:pPr>
      <w:r>
        <w:rPr>
          <w:rFonts w:ascii="Times New Roman" w:hAnsi="Times New Roman"/>
          <w:sz w:val="24"/>
          <w:szCs w:val="24"/>
          <w:lang w:val="en-US" w:eastAsia="en-GB"/>
        </w:rPr>
        <w:t>Source: c</w:t>
      </w:r>
      <w:r w:rsidRPr="007D4016">
        <w:rPr>
          <w:rFonts w:ascii="Times New Roman" w:hAnsi="Times New Roman"/>
          <w:sz w:val="24"/>
          <w:szCs w:val="24"/>
          <w:lang w:val="en-US" w:eastAsia="en-GB"/>
        </w:rPr>
        <w:t>ompiled from registers of accredited institutions; Zgaga et al</w:t>
      </w:r>
      <w:r>
        <w:rPr>
          <w:rFonts w:ascii="Times New Roman" w:hAnsi="Times New Roman"/>
          <w:sz w:val="24"/>
          <w:szCs w:val="24"/>
          <w:lang w:val="en-US" w:eastAsia="en-GB"/>
        </w:rPr>
        <w:t>.</w:t>
      </w:r>
      <w:r w:rsidRPr="007D4016">
        <w:rPr>
          <w:rFonts w:ascii="Times New Roman" w:hAnsi="Times New Roman"/>
          <w:sz w:val="24"/>
          <w:szCs w:val="24"/>
          <w:lang w:val="en-US" w:eastAsia="en-GB"/>
        </w:rPr>
        <w:t>, 2012</w:t>
      </w:r>
      <w:r>
        <w:rPr>
          <w:rFonts w:ascii="Times New Roman" w:hAnsi="Times New Roman"/>
          <w:sz w:val="24"/>
          <w:szCs w:val="24"/>
          <w:lang w:val="en-US" w:eastAsia="en-GB"/>
        </w:rPr>
        <w:t>.</w:t>
      </w:r>
    </w:p>
    <w:p w14:paraId="62C65B0D" w14:textId="4A4E2B67" w:rsidR="00691469" w:rsidRPr="007D4016" w:rsidRDefault="00691469" w:rsidP="004E2F45">
      <w:pPr>
        <w:spacing w:after="100" w:afterAutospacing="1" w:line="240" w:lineRule="auto"/>
        <w:jc w:val="both"/>
        <w:rPr>
          <w:rFonts w:ascii="Times New Roman" w:hAnsi="Times New Roman"/>
          <w:sz w:val="24"/>
          <w:szCs w:val="24"/>
          <w:lang w:val="en-US"/>
        </w:rPr>
      </w:pPr>
      <w:r w:rsidRPr="007D4016">
        <w:rPr>
          <w:rFonts w:ascii="Times New Roman" w:hAnsi="Times New Roman"/>
          <w:sz w:val="24"/>
          <w:szCs w:val="24"/>
          <w:lang w:val="en-US" w:eastAsia="en-GB"/>
        </w:rPr>
        <w:t>Th</w:t>
      </w:r>
      <w:r w:rsidR="00D74323">
        <w:rPr>
          <w:rFonts w:ascii="Times New Roman" w:hAnsi="Times New Roman"/>
          <w:sz w:val="24"/>
          <w:szCs w:val="24"/>
          <w:lang w:val="en-US" w:eastAsia="en-GB"/>
        </w:rPr>
        <w:t xml:space="preserve">is </w:t>
      </w:r>
      <w:r w:rsidRPr="007D4016">
        <w:rPr>
          <w:rFonts w:ascii="Times New Roman" w:hAnsi="Times New Roman"/>
          <w:sz w:val="24"/>
          <w:szCs w:val="24"/>
          <w:lang w:val="en-US" w:eastAsia="en-GB"/>
        </w:rPr>
        <w:t xml:space="preserve">article analyses the public-private dynamics in </w:t>
      </w:r>
      <w:r w:rsidR="00D74323">
        <w:rPr>
          <w:rFonts w:ascii="Times New Roman" w:hAnsi="Times New Roman"/>
          <w:sz w:val="24"/>
          <w:szCs w:val="24"/>
          <w:lang w:val="en-US" w:eastAsia="en-GB"/>
        </w:rPr>
        <w:t xml:space="preserve">higher education in </w:t>
      </w:r>
      <w:r w:rsidRPr="007D4016">
        <w:rPr>
          <w:rFonts w:ascii="Times New Roman" w:hAnsi="Times New Roman"/>
          <w:sz w:val="24"/>
          <w:szCs w:val="24"/>
          <w:lang w:val="en-US" w:eastAsia="en-GB"/>
        </w:rPr>
        <w:t>the Western Balkan countries</w:t>
      </w:r>
      <w:r w:rsidR="00AE57F4" w:rsidRPr="007D4016">
        <w:rPr>
          <w:rFonts w:ascii="Times New Roman" w:hAnsi="Times New Roman"/>
          <w:sz w:val="24"/>
          <w:szCs w:val="24"/>
          <w:lang w:val="en-US" w:eastAsia="en-GB"/>
        </w:rPr>
        <w:t>.</w:t>
      </w:r>
      <w:r w:rsidRPr="007D4016">
        <w:rPr>
          <w:rFonts w:ascii="Times New Roman" w:hAnsi="Times New Roman"/>
          <w:sz w:val="24"/>
          <w:szCs w:val="24"/>
          <w:lang w:val="en-US"/>
        </w:rPr>
        <w:t xml:space="preserve"> Focusing on the system level, we explore the </w:t>
      </w:r>
      <w:r w:rsidR="00AE57F4" w:rsidRPr="007D4016">
        <w:rPr>
          <w:rFonts w:ascii="Times New Roman" w:hAnsi="Times New Roman"/>
          <w:sz w:val="24"/>
          <w:szCs w:val="24"/>
          <w:lang w:val="en-US"/>
        </w:rPr>
        <w:t xml:space="preserve">characteristics and </w:t>
      </w:r>
      <w:r w:rsidRPr="007D4016">
        <w:rPr>
          <w:rFonts w:ascii="Times New Roman" w:hAnsi="Times New Roman"/>
          <w:sz w:val="24"/>
          <w:szCs w:val="24"/>
          <w:lang w:val="en-US"/>
        </w:rPr>
        <w:t xml:space="preserve">causes of public-private relations in the </w:t>
      </w:r>
      <w:r w:rsidR="00FF7270" w:rsidRPr="007D4016">
        <w:rPr>
          <w:rFonts w:ascii="Times New Roman" w:hAnsi="Times New Roman"/>
          <w:sz w:val="24"/>
          <w:szCs w:val="24"/>
          <w:lang w:val="en-US"/>
        </w:rPr>
        <w:t>eight</w:t>
      </w:r>
      <w:r w:rsidRPr="007D4016">
        <w:rPr>
          <w:rFonts w:ascii="Times New Roman" w:hAnsi="Times New Roman"/>
          <w:sz w:val="24"/>
          <w:szCs w:val="24"/>
          <w:lang w:val="en-US"/>
        </w:rPr>
        <w:t xml:space="preserve"> Western Balkan countries. </w:t>
      </w:r>
      <w:r w:rsidR="00AE57F4" w:rsidRPr="007D4016">
        <w:rPr>
          <w:rFonts w:ascii="Times New Roman" w:hAnsi="Times New Roman"/>
          <w:sz w:val="24"/>
          <w:szCs w:val="24"/>
          <w:lang w:val="en-US"/>
        </w:rPr>
        <w:t>Specifically, we are interested</w:t>
      </w:r>
      <w:r w:rsidR="00D74323">
        <w:rPr>
          <w:rFonts w:ascii="Times New Roman" w:hAnsi="Times New Roman"/>
          <w:sz w:val="24"/>
          <w:szCs w:val="24"/>
          <w:lang w:val="en-US"/>
        </w:rPr>
        <w:t xml:space="preserve"> in</w:t>
      </w:r>
      <w:r w:rsidR="00AE57F4" w:rsidRPr="007D4016">
        <w:rPr>
          <w:rFonts w:ascii="Times New Roman" w:hAnsi="Times New Roman"/>
          <w:sz w:val="24"/>
          <w:szCs w:val="24"/>
          <w:lang w:val="en-US"/>
        </w:rPr>
        <w:t xml:space="preserve"> whether and to what extent these governments “level the playing field” between private and public higher education providers</w:t>
      </w:r>
      <w:r w:rsidR="00D74323">
        <w:rPr>
          <w:rFonts w:ascii="Times New Roman" w:hAnsi="Times New Roman"/>
          <w:sz w:val="24"/>
          <w:szCs w:val="24"/>
          <w:lang w:val="en-US"/>
        </w:rPr>
        <w:t xml:space="preserve"> -</w:t>
      </w:r>
      <w:r w:rsidR="00AE57F4" w:rsidRPr="007D4016">
        <w:rPr>
          <w:rFonts w:ascii="Times New Roman" w:hAnsi="Times New Roman"/>
          <w:sz w:val="24"/>
          <w:szCs w:val="24"/>
          <w:lang w:val="en-US"/>
        </w:rPr>
        <w:t xml:space="preserve"> not in the sense that they have equal chances to succeed, but that they all play by the same set of rules and are able to compete fairly. </w:t>
      </w:r>
      <w:r w:rsidR="005814AB" w:rsidRPr="007D4016">
        <w:rPr>
          <w:rFonts w:ascii="Times New Roman" w:hAnsi="Times New Roman"/>
          <w:sz w:val="24"/>
          <w:szCs w:val="24"/>
          <w:lang w:val="en-US"/>
        </w:rPr>
        <w:t xml:space="preserve">The private-public dynamics in this region has not yet received adequate attention by scholars, </w:t>
      </w:r>
      <w:r w:rsidR="008B6A5F" w:rsidRPr="007D4016">
        <w:rPr>
          <w:rFonts w:ascii="Times New Roman" w:hAnsi="Times New Roman"/>
          <w:sz w:val="24"/>
          <w:szCs w:val="24"/>
          <w:lang w:val="en-US"/>
        </w:rPr>
        <w:t>despite</w:t>
      </w:r>
      <w:r w:rsidR="005814AB" w:rsidRPr="007D4016">
        <w:rPr>
          <w:rFonts w:ascii="Times New Roman" w:hAnsi="Times New Roman"/>
          <w:sz w:val="24"/>
          <w:szCs w:val="24"/>
          <w:lang w:val="en-US"/>
        </w:rPr>
        <w:t xml:space="preserve"> the </w:t>
      </w:r>
      <w:r w:rsidR="008B6A5F" w:rsidRPr="007D4016">
        <w:rPr>
          <w:rFonts w:ascii="Times New Roman" w:hAnsi="Times New Roman"/>
          <w:sz w:val="24"/>
          <w:szCs w:val="24"/>
          <w:lang w:val="en-US"/>
        </w:rPr>
        <w:t xml:space="preserve">obvious </w:t>
      </w:r>
      <w:r w:rsidR="005814AB" w:rsidRPr="007D4016">
        <w:rPr>
          <w:rFonts w:ascii="Times New Roman" w:hAnsi="Times New Roman"/>
          <w:sz w:val="24"/>
          <w:szCs w:val="24"/>
          <w:lang w:val="en-US"/>
        </w:rPr>
        <w:t xml:space="preserve">political salience </w:t>
      </w:r>
      <w:r w:rsidR="008B6A5F" w:rsidRPr="007D4016">
        <w:rPr>
          <w:rFonts w:ascii="Times New Roman" w:hAnsi="Times New Roman"/>
          <w:sz w:val="24"/>
          <w:szCs w:val="24"/>
          <w:lang w:val="en-US"/>
        </w:rPr>
        <w:t>of the topic</w:t>
      </w:r>
      <w:r w:rsidR="005814AB" w:rsidRPr="007D4016">
        <w:rPr>
          <w:rFonts w:ascii="Times New Roman" w:hAnsi="Times New Roman"/>
          <w:sz w:val="24"/>
          <w:szCs w:val="24"/>
          <w:lang w:val="en-US"/>
        </w:rPr>
        <w:t xml:space="preserve">. One notable exception is a chapter by </w:t>
      </w:r>
      <w:r w:rsidR="00FF7270" w:rsidRPr="007D4016">
        <w:rPr>
          <w:rFonts w:ascii="Times New Roman" w:hAnsi="Times New Roman"/>
          <w:sz w:val="24"/>
          <w:szCs w:val="24"/>
          <w:lang w:val="en-US"/>
        </w:rPr>
        <w:t>Branković</w:t>
      </w:r>
      <w:r w:rsidR="005814AB" w:rsidRPr="007D4016">
        <w:rPr>
          <w:rFonts w:ascii="Times New Roman" w:hAnsi="Times New Roman"/>
          <w:sz w:val="24"/>
          <w:szCs w:val="24"/>
          <w:lang w:val="en-US"/>
        </w:rPr>
        <w:t xml:space="preserve"> (2014) who introduces the </w:t>
      </w:r>
      <w:r w:rsidR="00FF7270" w:rsidRPr="007D4016">
        <w:rPr>
          <w:rFonts w:ascii="Times New Roman" w:hAnsi="Times New Roman"/>
          <w:sz w:val="24"/>
          <w:szCs w:val="24"/>
          <w:lang w:val="en-US"/>
        </w:rPr>
        <w:t>key characteristics</w:t>
      </w:r>
      <w:r w:rsidR="005814AB" w:rsidRPr="007D4016">
        <w:rPr>
          <w:rFonts w:ascii="Times New Roman" w:hAnsi="Times New Roman"/>
          <w:sz w:val="24"/>
          <w:szCs w:val="24"/>
          <w:lang w:val="en-US"/>
        </w:rPr>
        <w:t xml:space="preserve"> of </w:t>
      </w:r>
      <w:r w:rsidR="008B6A5F" w:rsidRPr="007D4016">
        <w:rPr>
          <w:rFonts w:ascii="Times New Roman" w:hAnsi="Times New Roman"/>
          <w:sz w:val="24"/>
          <w:szCs w:val="24"/>
          <w:lang w:val="en-US"/>
        </w:rPr>
        <w:t xml:space="preserve">the </w:t>
      </w:r>
      <w:r w:rsidR="005814AB" w:rsidRPr="007D4016">
        <w:rPr>
          <w:rFonts w:ascii="Times New Roman" w:hAnsi="Times New Roman"/>
          <w:sz w:val="24"/>
          <w:szCs w:val="24"/>
          <w:lang w:val="en-US"/>
        </w:rPr>
        <w:t xml:space="preserve">private sector in the region (apart from Slovenia) and focuses on the positioning strategies of private sector institutions in the emerging higher education markets. </w:t>
      </w:r>
      <w:r w:rsidR="00AE57F4" w:rsidRPr="007D4016">
        <w:rPr>
          <w:rFonts w:ascii="Times New Roman" w:hAnsi="Times New Roman"/>
          <w:sz w:val="24"/>
          <w:szCs w:val="24"/>
          <w:lang w:val="en-US"/>
        </w:rPr>
        <w:t>T</w:t>
      </w:r>
      <w:r w:rsidR="004E2F45" w:rsidRPr="007D4016">
        <w:rPr>
          <w:rFonts w:ascii="Times New Roman" w:hAnsi="Times New Roman"/>
          <w:sz w:val="24"/>
          <w:szCs w:val="24"/>
          <w:lang w:val="en-US"/>
        </w:rPr>
        <w:t>he countries of the Western Balkans form a particularly interesting</w:t>
      </w:r>
      <w:r w:rsidR="00AE57F4" w:rsidRPr="007D4016">
        <w:rPr>
          <w:rFonts w:ascii="Times New Roman" w:hAnsi="Times New Roman"/>
          <w:sz w:val="24"/>
          <w:szCs w:val="24"/>
          <w:lang w:val="en-US"/>
        </w:rPr>
        <w:t xml:space="preserve"> region to study since, as suggested by Stensaker et al. (2014), they</w:t>
      </w:r>
      <w:r w:rsidR="004E2F45" w:rsidRPr="007D4016">
        <w:rPr>
          <w:rFonts w:ascii="Times New Roman" w:hAnsi="Times New Roman"/>
          <w:sz w:val="24"/>
          <w:szCs w:val="24"/>
          <w:lang w:val="en-US"/>
        </w:rPr>
        <w:t xml:space="preserve"> </w:t>
      </w:r>
      <w:r w:rsidR="005814AB" w:rsidRPr="007D4016">
        <w:rPr>
          <w:rFonts w:ascii="Times New Roman" w:hAnsi="Times New Roman"/>
          <w:sz w:val="24"/>
          <w:szCs w:val="24"/>
          <w:lang w:val="en-US"/>
        </w:rPr>
        <w:t>“</w:t>
      </w:r>
      <w:r w:rsidR="004E2F45" w:rsidRPr="007D4016">
        <w:rPr>
          <w:rFonts w:ascii="Times New Roman" w:hAnsi="Times New Roman"/>
          <w:sz w:val="24"/>
          <w:szCs w:val="24"/>
          <w:lang w:val="en-US"/>
        </w:rPr>
        <w:t>make up a natural laboratory for comparative studies</w:t>
      </w:r>
      <w:r w:rsidR="00D74323">
        <w:rPr>
          <w:rFonts w:ascii="Times New Roman" w:hAnsi="Times New Roman"/>
          <w:sz w:val="24"/>
          <w:szCs w:val="24"/>
          <w:lang w:val="en-US"/>
        </w:rPr>
        <w:t>.</w:t>
      </w:r>
      <w:r w:rsidR="004E2F45" w:rsidRPr="007D4016">
        <w:rPr>
          <w:rFonts w:ascii="Times New Roman" w:hAnsi="Times New Roman"/>
          <w:sz w:val="24"/>
          <w:szCs w:val="24"/>
          <w:lang w:val="en-US"/>
        </w:rPr>
        <w:t>”</w:t>
      </w:r>
      <w:r w:rsidR="00D74323">
        <w:rPr>
          <w:rFonts w:ascii="Times New Roman" w:hAnsi="Times New Roman"/>
          <w:sz w:val="24"/>
          <w:szCs w:val="24"/>
          <w:lang w:val="en-US"/>
        </w:rPr>
        <w:t xml:space="preserve"> (p. 9)</w:t>
      </w:r>
      <w:r w:rsidR="004E2F45" w:rsidRPr="007D4016">
        <w:rPr>
          <w:rFonts w:ascii="Times New Roman" w:hAnsi="Times New Roman"/>
          <w:sz w:val="24"/>
          <w:szCs w:val="24"/>
          <w:lang w:val="en-US"/>
        </w:rPr>
        <w:t xml:space="preserve">. </w:t>
      </w:r>
      <w:r w:rsidR="00D10F9A" w:rsidRPr="007D4016">
        <w:rPr>
          <w:rFonts w:ascii="Times New Roman" w:hAnsi="Times New Roman"/>
          <w:sz w:val="24"/>
          <w:szCs w:val="24"/>
          <w:lang w:val="en-US"/>
        </w:rPr>
        <w:t>All examined countries</w:t>
      </w:r>
      <w:r w:rsidR="004E2F45" w:rsidRPr="007D4016">
        <w:rPr>
          <w:rFonts w:ascii="Times New Roman" w:hAnsi="Times New Roman"/>
          <w:sz w:val="24"/>
          <w:szCs w:val="24"/>
          <w:lang w:val="en-US"/>
        </w:rPr>
        <w:t xml:space="preserve"> </w:t>
      </w:r>
      <w:r w:rsidR="008B6A5F" w:rsidRPr="007D4016">
        <w:rPr>
          <w:rFonts w:ascii="Times New Roman" w:hAnsi="Times New Roman"/>
          <w:sz w:val="24"/>
          <w:szCs w:val="24"/>
          <w:lang w:val="en-US"/>
        </w:rPr>
        <w:t xml:space="preserve">except </w:t>
      </w:r>
      <w:r w:rsidR="004E2F45" w:rsidRPr="007D4016">
        <w:rPr>
          <w:rFonts w:ascii="Times New Roman" w:hAnsi="Times New Roman"/>
          <w:sz w:val="24"/>
          <w:szCs w:val="24"/>
          <w:lang w:val="en-US"/>
        </w:rPr>
        <w:t xml:space="preserve">Albania were part of a </w:t>
      </w:r>
      <w:r w:rsidR="00753849" w:rsidRPr="007D4016">
        <w:rPr>
          <w:rFonts w:ascii="Times New Roman" w:hAnsi="Times New Roman"/>
          <w:sz w:val="24"/>
          <w:szCs w:val="24"/>
          <w:lang w:val="en-US"/>
        </w:rPr>
        <w:t>single</w:t>
      </w:r>
      <w:r w:rsidR="00AE57F4" w:rsidRPr="007D4016">
        <w:rPr>
          <w:rFonts w:ascii="Times New Roman" w:hAnsi="Times New Roman"/>
          <w:sz w:val="24"/>
          <w:szCs w:val="24"/>
          <w:lang w:val="en-US"/>
        </w:rPr>
        <w:t xml:space="preserve"> federal</w:t>
      </w:r>
      <w:r w:rsidR="004E2F45" w:rsidRPr="007D4016">
        <w:rPr>
          <w:rFonts w:ascii="Times New Roman" w:hAnsi="Times New Roman"/>
          <w:sz w:val="24"/>
          <w:szCs w:val="24"/>
          <w:lang w:val="en-US"/>
        </w:rPr>
        <w:t xml:space="preserve"> higher education system. All countries transitioned from communist rule</w:t>
      </w:r>
      <w:r w:rsidR="00676A5E" w:rsidRPr="007D4016">
        <w:rPr>
          <w:rFonts w:ascii="Times New Roman" w:hAnsi="Times New Roman"/>
          <w:sz w:val="24"/>
          <w:szCs w:val="24"/>
          <w:lang w:val="en-US"/>
        </w:rPr>
        <w:t xml:space="preserve">, all joined the intergovernmental cooperation </w:t>
      </w:r>
      <w:r w:rsidR="00AE57F4" w:rsidRPr="007D4016">
        <w:rPr>
          <w:rFonts w:ascii="Times New Roman" w:hAnsi="Times New Roman"/>
          <w:sz w:val="24"/>
          <w:szCs w:val="24"/>
          <w:lang w:val="en-US"/>
        </w:rPr>
        <w:t>within</w:t>
      </w:r>
      <w:r w:rsidR="00676A5E" w:rsidRPr="007D4016">
        <w:rPr>
          <w:rFonts w:ascii="Times New Roman" w:hAnsi="Times New Roman"/>
          <w:sz w:val="24"/>
          <w:szCs w:val="24"/>
          <w:lang w:val="en-US"/>
        </w:rPr>
        <w:t xml:space="preserve"> the Bologna Process </w:t>
      </w:r>
      <w:r w:rsidR="00E30DB1" w:rsidRPr="007D4016">
        <w:rPr>
          <w:rFonts w:ascii="Times New Roman" w:hAnsi="Times New Roman"/>
          <w:sz w:val="24"/>
          <w:szCs w:val="24"/>
          <w:lang w:val="en-US"/>
        </w:rPr>
        <w:t xml:space="preserve">and all have affinity to the European Union </w:t>
      </w:r>
      <w:r w:rsidR="00D74323">
        <w:rPr>
          <w:rFonts w:ascii="Times New Roman" w:hAnsi="Times New Roman"/>
          <w:sz w:val="24"/>
          <w:szCs w:val="24"/>
          <w:lang w:val="en-US"/>
        </w:rPr>
        <w:t>(</w:t>
      </w:r>
      <w:r w:rsidR="00E30DB1" w:rsidRPr="007D4016">
        <w:rPr>
          <w:rFonts w:ascii="Times New Roman" w:hAnsi="Times New Roman"/>
          <w:sz w:val="24"/>
          <w:szCs w:val="24"/>
          <w:lang w:val="en-US"/>
        </w:rPr>
        <w:t>EU</w:t>
      </w:r>
      <w:r w:rsidR="00D74323">
        <w:rPr>
          <w:rFonts w:ascii="Times New Roman" w:hAnsi="Times New Roman"/>
          <w:sz w:val="24"/>
          <w:szCs w:val="24"/>
          <w:lang w:val="en-US"/>
        </w:rPr>
        <w:t>)</w:t>
      </w:r>
      <w:r w:rsidR="00E30DB1" w:rsidRPr="007D4016">
        <w:rPr>
          <w:rFonts w:ascii="Times New Roman" w:hAnsi="Times New Roman"/>
          <w:sz w:val="24"/>
          <w:szCs w:val="24"/>
          <w:lang w:val="en-US"/>
        </w:rPr>
        <w:t xml:space="preserve">, </w:t>
      </w:r>
      <w:r w:rsidR="00AE57F4" w:rsidRPr="007D4016">
        <w:rPr>
          <w:rFonts w:ascii="Times New Roman" w:hAnsi="Times New Roman"/>
          <w:sz w:val="24"/>
          <w:szCs w:val="24"/>
          <w:lang w:val="en-US"/>
        </w:rPr>
        <w:t>albeit operating in d</w:t>
      </w:r>
      <w:r w:rsidR="00E30DB1" w:rsidRPr="007D4016">
        <w:rPr>
          <w:rFonts w:ascii="Times New Roman" w:hAnsi="Times New Roman"/>
          <w:sz w:val="24"/>
          <w:szCs w:val="24"/>
          <w:lang w:val="en-US"/>
        </w:rPr>
        <w:t>iffer</w:t>
      </w:r>
      <w:r w:rsidR="00AE57F4" w:rsidRPr="007D4016">
        <w:rPr>
          <w:rFonts w:ascii="Times New Roman" w:hAnsi="Times New Roman"/>
          <w:sz w:val="24"/>
          <w:szCs w:val="24"/>
          <w:lang w:val="en-US"/>
        </w:rPr>
        <w:t xml:space="preserve">ent time-frames of </w:t>
      </w:r>
      <w:r w:rsidR="00D74323">
        <w:rPr>
          <w:rFonts w:ascii="Times New Roman" w:hAnsi="Times New Roman"/>
          <w:sz w:val="24"/>
          <w:szCs w:val="24"/>
          <w:lang w:val="en-US"/>
        </w:rPr>
        <w:t xml:space="preserve">the </w:t>
      </w:r>
      <w:r w:rsidR="00AE57F4" w:rsidRPr="007D4016">
        <w:rPr>
          <w:rFonts w:ascii="Times New Roman" w:hAnsi="Times New Roman"/>
          <w:sz w:val="24"/>
          <w:szCs w:val="24"/>
          <w:lang w:val="en-US"/>
        </w:rPr>
        <w:t>EU accession</w:t>
      </w:r>
      <w:r w:rsidR="00CC13D4" w:rsidRPr="007D4016">
        <w:rPr>
          <w:rFonts w:ascii="Times New Roman" w:hAnsi="Times New Roman"/>
          <w:sz w:val="24"/>
          <w:szCs w:val="24"/>
          <w:lang w:val="en-US"/>
        </w:rPr>
        <w:t xml:space="preserve">. </w:t>
      </w:r>
      <w:r w:rsidR="005814AB" w:rsidRPr="007D4016">
        <w:rPr>
          <w:rFonts w:ascii="Times New Roman" w:hAnsi="Times New Roman"/>
          <w:sz w:val="24"/>
          <w:szCs w:val="24"/>
          <w:lang w:val="en-US"/>
        </w:rPr>
        <w:t>Such</w:t>
      </w:r>
      <w:r w:rsidR="00946F7D" w:rsidRPr="007D4016">
        <w:rPr>
          <w:rFonts w:ascii="Times New Roman" w:hAnsi="Times New Roman"/>
          <w:sz w:val="24"/>
          <w:szCs w:val="24"/>
          <w:lang w:val="en-US"/>
        </w:rPr>
        <w:t xml:space="preserve"> </w:t>
      </w:r>
      <w:r w:rsidR="008B6A5F" w:rsidRPr="007D4016">
        <w:rPr>
          <w:rFonts w:ascii="Times New Roman" w:hAnsi="Times New Roman"/>
          <w:sz w:val="24"/>
          <w:szCs w:val="24"/>
          <w:lang w:val="en-US"/>
        </w:rPr>
        <w:t xml:space="preserve">a </w:t>
      </w:r>
      <w:r w:rsidR="00946F7D" w:rsidRPr="007D4016">
        <w:rPr>
          <w:rFonts w:ascii="Times New Roman" w:hAnsi="Times New Roman"/>
          <w:sz w:val="24"/>
          <w:szCs w:val="24"/>
          <w:lang w:val="en-US"/>
        </w:rPr>
        <w:t>context allows</w:t>
      </w:r>
      <w:r w:rsidR="008B6A5F" w:rsidRPr="007D4016">
        <w:rPr>
          <w:rFonts w:ascii="Times New Roman" w:hAnsi="Times New Roman"/>
          <w:sz w:val="24"/>
          <w:szCs w:val="24"/>
          <w:lang w:val="en-US"/>
        </w:rPr>
        <w:t xml:space="preserve"> us to</w:t>
      </w:r>
      <w:r w:rsidR="00946F7D" w:rsidRPr="007D4016">
        <w:rPr>
          <w:rFonts w:ascii="Times New Roman" w:hAnsi="Times New Roman"/>
          <w:sz w:val="24"/>
          <w:szCs w:val="24"/>
          <w:lang w:val="en-US"/>
        </w:rPr>
        <w:t xml:space="preserve"> compare the similarities and differences in policy responses emerging from very similar historical contexts</w:t>
      </w:r>
      <w:r w:rsidR="00CC13D4" w:rsidRPr="007D4016">
        <w:rPr>
          <w:rFonts w:ascii="Times New Roman" w:hAnsi="Times New Roman"/>
          <w:sz w:val="24"/>
          <w:szCs w:val="24"/>
          <w:lang w:val="en-US"/>
        </w:rPr>
        <w:t>, even if present financial and other capacities of higher education systems vary</w:t>
      </w:r>
      <w:r w:rsidR="00946F7D" w:rsidRPr="007D4016">
        <w:rPr>
          <w:rFonts w:ascii="Times New Roman" w:hAnsi="Times New Roman"/>
          <w:sz w:val="24"/>
          <w:szCs w:val="24"/>
          <w:lang w:val="en-US"/>
        </w:rPr>
        <w:t xml:space="preserve">.  </w:t>
      </w:r>
    </w:p>
    <w:p w14:paraId="6E9FEA65" w14:textId="0C04E2D0" w:rsidR="00691469" w:rsidRPr="007D4016" w:rsidRDefault="00691469" w:rsidP="00691469">
      <w:pPr>
        <w:spacing w:after="100" w:afterAutospacing="1" w:line="240" w:lineRule="auto"/>
        <w:jc w:val="both"/>
        <w:rPr>
          <w:rFonts w:ascii="Times New Roman" w:hAnsi="Times New Roman"/>
          <w:sz w:val="24"/>
          <w:szCs w:val="24"/>
          <w:lang w:val="en-US"/>
        </w:rPr>
      </w:pPr>
      <w:r w:rsidRPr="007D4016">
        <w:rPr>
          <w:rFonts w:ascii="Times New Roman" w:hAnsi="Times New Roman"/>
          <w:sz w:val="24"/>
          <w:szCs w:val="24"/>
          <w:lang w:val="en-US"/>
        </w:rPr>
        <w:t xml:space="preserve">The article </w:t>
      </w:r>
      <w:r w:rsidR="00946F7D" w:rsidRPr="007D4016">
        <w:rPr>
          <w:rFonts w:ascii="Times New Roman" w:hAnsi="Times New Roman"/>
          <w:sz w:val="24"/>
          <w:szCs w:val="24"/>
          <w:lang w:val="en-US"/>
        </w:rPr>
        <w:t>first introduces the</w:t>
      </w:r>
      <w:r w:rsidRPr="007D4016">
        <w:rPr>
          <w:rFonts w:ascii="Times New Roman" w:hAnsi="Times New Roman"/>
          <w:sz w:val="24"/>
          <w:szCs w:val="24"/>
          <w:lang w:val="en-US"/>
        </w:rPr>
        <w:t xml:space="preserve"> theoretical concepts on private-public dynamics</w:t>
      </w:r>
      <w:r w:rsidR="00D74323">
        <w:rPr>
          <w:rFonts w:ascii="Times New Roman" w:hAnsi="Times New Roman"/>
          <w:sz w:val="24"/>
          <w:szCs w:val="24"/>
          <w:lang w:val="en-US"/>
        </w:rPr>
        <w:t>,</w:t>
      </w:r>
      <w:r w:rsidR="00946F7D" w:rsidRPr="007D4016">
        <w:rPr>
          <w:rFonts w:ascii="Times New Roman" w:hAnsi="Times New Roman"/>
          <w:sz w:val="24"/>
          <w:szCs w:val="24"/>
          <w:lang w:val="en-US"/>
        </w:rPr>
        <w:t xml:space="preserve"> </w:t>
      </w:r>
      <w:r w:rsidR="00CC13D4" w:rsidRPr="007D4016">
        <w:rPr>
          <w:rFonts w:ascii="Times New Roman" w:hAnsi="Times New Roman"/>
          <w:sz w:val="24"/>
          <w:szCs w:val="24"/>
          <w:lang w:val="en-US"/>
        </w:rPr>
        <w:t xml:space="preserve">which are </w:t>
      </w:r>
      <w:r w:rsidR="00946F7D" w:rsidRPr="007D4016">
        <w:rPr>
          <w:rFonts w:ascii="Times New Roman" w:hAnsi="Times New Roman"/>
          <w:sz w:val="24"/>
          <w:szCs w:val="24"/>
          <w:lang w:val="en-US"/>
        </w:rPr>
        <w:t xml:space="preserve">applied in the empirical analyses </w:t>
      </w:r>
      <w:r w:rsidR="00CC13D4" w:rsidRPr="007D4016">
        <w:rPr>
          <w:rFonts w:ascii="Times New Roman" w:hAnsi="Times New Roman"/>
          <w:sz w:val="24"/>
          <w:szCs w:val="24"/>
          <w:lang w:val="en-US"/>
        </w:rPr>
        <w:t>that follow.</w:t>
      </w:r>
      <w:r w:rsidR="00946F7D" w:rsidRPr="007D4016">
        <w:rPr>
          <w:rFonts w:ascii="Times New Roman" w:hAnsi="Times New Roman"/>
          <w:sz w:val="24"/>
          <w:szCs w:val="24"/>
          <w:lang w:val="en-US"/>
        </w:rPr>
        <w:t xml:space="preserve"> </w:t>
      </w:r>
      <w:r w:rsidR="00CC13D4" w:rsidRPr="007D4016">
        <w:rPr>
          <w:rFonts w:ascii="Times New Roman" w:hAnsi="Times New Roman"/>
          <w:sz w:val="24"/>
          <w:szCs w:val="24"/>
          <w:lang w:val="en-US"/>
        </w:rPr>
        <w:t xml:space="preserve">The empirical sections discern the government policies that regulate public-private dynamics. </w:t>
      </w:r>
      <w:r w:rsidR="00B74A19" w:rsidRPr="007D4016">
        <w:rPr>
          <w:rFonts w:ascii="Times New Roman" w:hAnsi="Times New Roman"/>
          <w:sz w:val="24"/>
          <w:szCs w:val="24"/>
          <w:lang w:val="en-US"/>
        </w:rPr>
        <w:t xml:space="preserve">The first empirical section addresses the emergence of </w:t>
      </w:r>
      <w:r w:rsidR="008B6A5F" w:rsidRPr="007D4016">
        <w:rPr>
          <w:rFonts w:ascii="Times New Roman" w:hAnsi="Times New Roman"/>
          <w:sz w:val="24"/>
          <w:szCs w:val="24"/>
          <w:lang w:val="en-US"/>
        </w:rPr>
        <w:t xml:space="preserve">a </w:t>
      </w:r>
      <w:r w:rsidR="00B74A19" w:rsidRPr="007D4016">
        <w:rPr>
          <w:rFonts w:ascii="Times New Roman" w:hAnsi="Times New Roman"/>
          <w:sz w:val="24"/>
          <w:szCs w:val="24"/>
          <w:lang w:val="en-US"/>
        </w:rPr>
        <w:t xml:space="preserve">private higher education sector and the </w:t>
      </w:r>
      <w:r w:rsidR="00511817" w:rsidRPr="007D4016">
        <w:rPr>
          <w:rFonts w:ascii="Times New Roman" w:hAnsi="Times New Roman"/>
          <w:sz w:val="24"/>
          <w:szCs w:val="24"/>
          <w:lang w:val="en-US"/>
        </w:rPr>
        <w:t>access</w:t>
      </w:r>
      <w:r w:rsidR="00B74A19" w:rsidRPr="007D4016">
        <w:rPr>
          <w:rFonts w:ascii="Times New Roman" w:hAnsi="Times New Roman"/>
          <w:sz w:val="24"/>
          <w:szCs w:val="24"/>
          <w:lang w:val="en-US"/>
        </w:rPr>
        <w:t xml:space="preserve"> of this sector to public resources. The </w:t>
      </w:r>
      <w:r w:rsidR="00D74323">
        <w:rPr>
          <w:rFonts w:ascii="Times New Roman" w:hAnsi="Times New Roman"/>
          <w:sz w:val="24"/>
          <w:szCs w:val="24"/>
          <w:lang w:val="en-US"/>
        </w:rPr>
        <w:t>second</w:t>
      </w:r>
      <w:r w:rsidR="00B74A19" w:rsidRPr="007D4016">
        <w:rPr>
          <w:rFonts w:ascii="Times New Roman" w:hAnsi="Times New Roman"/>
          <w:sz w:val="24"/>
          <w:szCs w:val="24"/>
          <w:lang w:val="en-US"/>
        </w:rPr>
        <w:t xml:space="preserve"> section discusses the extent of “</w:t>
      </w:r>
      <w:r w:rsidR="007D4016" w:rsidRPr="007D4016">
        <w:rPr>
          <w:rFonts w:ascii="Times New Roman" w:hAnsi="Times New Roman"/>
          <w:sz w:val="24"/>
          <w:szCs w:val="24"/>
          <w:lang w:val="en-US"/>
        </w:rPr>
        <w:t>privatization</w:t>
      </w:r>
      <w:r w:rsidR="00B74A19" w:rsidRPr="007D4016">
        <w:rPr>
          <w:rFonts w:ascii="Times New Roman" w:hAnsi="Times New Roman"/>
          <w:sz w:val="24"/>
          <w:szCs w:val="24"/>
          <w:lang w:val="en-US"/>
        </w:rPr>
        <w:t xml:space="preserve">” of public higher education institutions through tuition fees and commercial services. </w:t>
      </w:r>
      <w:r w:rsidR="00CC13D4" w:rsidRPr="007D4016">
        <w:rPr>
          <w:rFonts w:ascii="Times New Roman" w:hAnsi="Times New Roman"/>
          <w:sz w:val="24"/>
          <w:szCs w:val="24"/>
          <w:lang w:val="en-US"/>
        </w:rPr>
        <w:t>T</w:t>
      </w:r>
      <w:r w:rsidRPr="007D4016">
        <w:rPr>
          <w:rFonts w:ascii="Times New Roman" w:hAnsi="Times New Roman"/>
          <w:sz w:val="24"/>
          <w:szCs w:val="24"/>
          <w:lang w:val="en-US"/>
        </w:rPr>
        <w:t>he article conclude</w:t>
      </w:r>
      <w:r w:rsidR="00511817" w:rsidRPr="007D4016">
        <w:rPr>
          <w:rFonts w:ascii="Times New Roman" w:hAnsi="Times New Roman"/>
          <w:sz w:val="24"/>
          <w:szCs w:val="24"/>
          <w:lang w:val="en-US"/>
        </w:rPr>
        <w:t xml:space="preserve">s with a </w:t>
      </w:r>
      <w:r w:rsidR="00CC13D4" w:rsidRPr="007D4016">
        <w:rPr>
          <w:rFonts w:ascii="Times New Roman" w:hAnsi="Times New Roman"/>
          <w:sz w:val="24"/>
          <w:szCs w:val="24"/>
          <w:lang w:val="en-US"/>
        </w:rPr>
        <w:t>general discussion on the</w:t>
      </w:r>
      <w:r w:rsidRPr="007D4016">
        <w:rPr>
          <w:rFonts w:ascii="Times New Roman" w:hAnsi="Times New Roman"/>
          <w:sz w:val="24"/>
          <w:szCs w:val="24"/>
          <w:lang w:val="en-US"/>
        </w:rPr>
        <w:t xml:space="preserve"> public-private dynamics</w:t>
      </w:r>
      <w:r w:rsidR="00CC13D4" w:rsidRPr="007D4016">
        <w:rPr>
          <w:rFonts w:ascii="Times New Roman" w:hAnsi="Times New Roman"/>
          <w:sz w:val="24"/>
          <w:szCs w:val="24"/>
          <w:lang w:val="en-US"/>
        </w:rPr>
        <w:t xml:space="preserve"> in higher education in the Western Balkans</w:t>
      </w:r>
      <w:r w:rsidRPr="007D4016">
        <w:rPr>
          <w:rFonts w:ascii="Times New Roman" w:hAnsi="Times New Roman"/>
          <w:sz w:val="24"/>
          <w:szCs w:val="24"/>
          <w:lang w:val="en-US"/>
        </w:rPr>
        <w:t>.</w:t>
      </w:r>
    </w:p>
    <w:p w14:paraId="07F01B62" w14:textId="327E0A93" w:rsidR="00691469" w:rsidRPr="007D4016" w:rsidRDefault="00E30DB1" w:rsidP="00691469">
      <w:pPr>
        <w:keepNext/>
        <w:keepLines/>
        <w:spacing w:before="480" w:after="0"/>
        <w:outlineLvl w:val="0"/>
        <w:rPr>
          <w:rFonts w:ascii="Times New Roman" w:eastAsia="Times New Roman" w:hAnsi="Times New Roman"/>
          <w:b/>
          <w:bCs/>
          <w:sz w:val="24"/>
          <w:szCs w:val="24"/>
          <w:lang w:val="en-US" w:eastAsia="en-GB"/>
        </w:rPr>
      </w:pPr>
      <w:r w:rsidRPr="007D4016">
        <w:rPr>
          <w:rFonts w:ascii="Times New Roman" w:eastAsia="Times New Roman" w:hAnsi="Times New Roman"/>
          <w:b/>
          <w:bCs/>
          <w:sz w:val="24"/>
          <w:szCs w:val="24"/>
          <w:lang w:val="en-US" w:eastAsia="en-GB"/>
        </w:rPr>
        <w:t>B</w:t>
      </w:r>
      <w:r w:rsidR="00691469" w:rsidRPr="007D4016">
        <w:rPr>
          <w:rFonts w:ascii="Times New Roman" w:eastAsia="Times New Roman" w:hAnsi="Times New Roman"/>
          <w:b/>
          <w:bCs/>
          <w:sz w:val="24"/>
          <w:szCs w:val="24"/>
          <w:lang w:val="en-US" w:eastAsia="en-GB"/>
        </w:rPr>
        <w:t xml:space="preserve">asic theoretical concepts </w:t>
      </w:r>
    </w:p>
    <w:p w14:paraId="2157274A" w14:textId="1B240372" w:rsidR="008B7B3B" w:rsidRPr="007D4016" w:rsidRDefault="00C1207D" w:rsidP="008B7B3B">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The</w:t>
      </w:r>
      <w:r w:rsidR="008B7B3B" w:rsidRPr="007D4016">
        <w:rPr>
          <w:rFonts w:ascii="Times New Roman" w:hAnsi="Times New Roman"/>
          <w:sz w:val="24"/>
          <w:szCs w:val="24"/>
          <w:lang w:val="en-US" w:eastAsia="en-GB"/>
        </w:rPr>
        <w:t xml:space="preserve"> scholarly literature </w:t>
      </w:r>
      <w:r w:rsidR="001B26C2">
        <w:rPr>
          <w:rFonts w:ascii="Times New Roman" w:hAnsi="Times New Roman"/>
          <w:sz w:val="24"/>
          <w:szCs w:val="24"/>
          <w:lang w:val="en-US" w:eastAsia="en-GB"/>
        </w:rPr>
        <w:t>makes</w:t>
      </w:r>
      <w:r w:rsidR="008B7B3B" w:rsidRPr="007D4016">
        <w:rPr>
          <w:rFonts w:ascii="Times New Roman" w:hAnsi="Times New Roman"/>
          <w:sz w:val="24"/>
          <w:szCs w:val="24"/>
          <w:lang w:val="en-US" w:eastAsia="en-GB"/>
        </w:rPr>
        <w:t xml:space="preserve"> the distinction between public</w:t>
      </w:r>
      <w:r w:rsidRPr="007D4016">
        <w:rPr>
          <w:rFonts w:ascii="Times New Roman" w:hAnsi="Times New Roman"/>
          <w:sz w:val="24"/>
          <w:szCs w:val="24"/>
          <w:lang w:val="en-US" w:eastAsia="en-GB"/>
        </w:rPr>
        <w:t xml:space="preserve"> </w:t>
      </w:r>
      <w:r w:rsidR="008B7B3B" w:rsidRPr="007D4016">
        <w:rPr>
          <w:rFonts w:ascii="Times New Roman" w:hAnsi="Times New Roman"/>
          <w:sz w:val="24"/>
          <w:szCs w:val="24"/>
          <w:lang w:val="en-US" w:eastAsia="en-GB"/>
        </w:rPr>
        <w:t>and private higher education</w:t>
      </w:r>
      <w:r w:rsidRPr="007D4016">
        <w:rPr>
          <w:rFonts w:ascii="Times New Roman" w:hAnsi="Times New Roman"/>
          <w:sz w:val="24"/>
          <w:szCs w:val="24"/>
          <w:lang w:val="en-US" w:eastAsia="en-GB"/>
        </w:rPr>
        <w:t xml:space="preserve"> sectors</w:t>
      </w:r>
      <w:r w:rsidR="008B7B3B" w:rsidRPr="007D4016">
        <w:rPr>
          <w:rFonts w:ascii="Times New Roman" w:hAnsi="Times New Roman"/>
          <w:sz w:val="24"/>
          <w:szCs w:val="24"/>
          <w:lang w:val="en-US" w:eastAsia="en-GB"/>
        </w:rPr>
        <w:t xml:space="preserve"> </w:t>
      </w:r>
      <w:r w:rsidRPr="007D4016">
        <w:rPr>
          <w:rFonts w:ascii="Times New Roman" w:hAnsi="Times New Roman"/>
          <w:sz w:val="24"/>
          <w:szCs w:val="24"/>
          <w:lang w:val="en-US" w:eastAsia="en-GB"/>
        </w:rPr>
        <w:t>on the basis</w:t>
      </w:r>
      <w:r w:rsidR="008B7B3B" w:rsidRPr="007D4016">
        <w:rPr>
          <w:rFonts w:ascii="Times New Roman" w:hAnsi="Times New Roman"/>
          <w:sz w:val="24"/>
          <w:szCs w:val="24"/>
          <w:lang w:val="en-US" w:eastAsia="en-GB"/>
        </w:rPr>
        <w:t xml:space="preserve"> of funding, ownership, governance, and function, but </w:t>
      </w:r>
      <w:r w:rsidRPr="007D4016">
        <w:rPr>
          <w:rFonts w:ascii="Times New Roman" w:hAnsi="Times New Roman"/>
          <w:sz w:val="24"/>
          <w:szCs w:val="24"/>
          <w:lang w:val="en-US" w:eastAsia="en-GB"/>
        </w:rPr>
        <w:t xml:space="preserve">it also </w:t>
      </w:r>
      <w:r w:rsidR="008B7B3B" w:rsidRPr="007D4016">
        <w:rPr>
          <w:rFonts w:ascii="Times New Roman" w:hAnsi="Times New Roman"/>
          <w:sz w:val="24"/>
          <w:szCs w:val="24"/>
          <w:lang w:val="en-US" w:eastAsia="en-GB"/>
        </w:rPr>
        <w:t>note</w:t>
      </w:r>
      <w:r w:rsidR="00CC13D4" w:rsidRPr="007D4016">
        <w:rPr>
          <w:rFonts w:ascii="Times New Roman" w:hAnsi="Times New Roman"/>
          <w:sz w:val="24"/>
          <w:szCs w:val="24"/>
          <w:lang w:val="en-US" w:eastAsia="en-GB"/>
        </w:rPr>
        <w:t>s</w:t>
      </w:r>
      <w:r w:rsidR="008B7B3B" w:rsidRPr="007D4016">
        <w:rPr>
          <w:rFonts w:ascii="Times New Roman" w:hAnsi="Times New Roman"/>
          <w:sz w:val="24"/>
          <w:szCs w:val="24"/>
          <w:lang w:val="en-US" w:eastAsia="en-GB"/>
        </w:rPr>
        <w:t xml:space="preserve"> that delineating </w:t>
      </w:r>
      <w:r w:rsidRPr="007D4016">
        <w:rPr>
          <w:rFonts w:ascii="Times New Roman" w:hAnsi="Times New Roman"/>
          <w:sz w:val="24"/>
          <w:szCs w:val="24"/>
          <w:lang w:val="en-US" w:eastAsia="en-GB"/>
        </w:rPr>
        <w:t>the boundaries between the two</w:t>
      </w:r>
      <w:r w:rsidR="008B7B3B" w:rsidRPr="007D4016">
        <w:rPr>
          <w:rFonts w:ascii="Times New Roman" w:hAnsi="Times New Roman"/>
          <w:sz w:val="24"/>
          <w:szCs w:val="24"/>
          <w:lang w:val="en-US" w:eastAsia="en-GB"/>
        </w:rPr>
        <w:t xml:space="preserve"> sector</w:t>
      </w:r>
      <w:r w:rsidRPr="007D4016">
        <w:rPr>
          <w:rFonts w:ascii="Times New Roman" w:hAnsi="Times New Roman"/>
          <w:sz w:val="24"/>
          <w:szCs w:val="24"/>
          <w:lang w:val="en-US" w:eastAsia="en-GB"/>
        </w:rPr>
        <w:t>s</w:t>
      </w:r>
      <w:r w:rsidR="008B7B3B" w:rsidRPr="007D4016">
        <w:rPr>
          <w:rFonts w:ascii="Times New Roman" w:hAnsi="Times New Roman"/>
          <w:sz w:val="24"/>
          <w:szCs w:val="24"/>
          <w:lang w:val="en-US" w:eastAsia="en-GB"/>
        </w:rPr>
        <w:t xml:space="preserve"> is a complex task</w:t>
      </w:r>
      <w:r w:rsidR="001B26C2">
        <w:rPr>
          <w:rFonts w:ascii="Times New Roman" w:hAnsi="Times New Roman"/>
          <w:sz w:val="24"/>
          <w:szCs w:val="24"/>
          <w:lang w:val="en-US" w:eastAsia="en-GB"/>
        </w:rPr>
        <w:t>,</w:t>
      </w:r>
      <w:r w:rsidR="008B7B3B" w:rsidRPr="007D4016">
        <w:rPr>
          <w:rFonts w:ascii="Times New Roman" w:hAnsi="Times New Roman"/>
          <w:sz w:val="24"/>
          <w:szCs w:val="24"/>
          <w:lang w:val="en-US" w:eastAsia="en-GB"/>
        </w:rPr>
        <w:t xml:space="preserve"> which should be approached </w:t>
      </w:r>
      <w:r w:rsidR="008B7B3B" w:rsidRPr="007D4016">
        <w:rPr>
          <w:rFonts w:ascii="Times New Roman" w:hAnsi="Times New Roman"/>
          <w:i/>
          <w:sz w:val="24"/>
          <w:szCs w:val="24"/>
          <w:lang w:val="en-US" w:eastAsia="en-GB"/>
        </w:rPr>
        <w:t xml:space="preserve">inductively </w:t>
      </w:r>
      <w:r w:rsidR="008B7B3B" w:rsidRPr="007D4016">
        <w:rPr>
          <w:rFonts w:ascii="Times New Roman" w:hAnsi="Times New Roman"/>
          <w:sz w:val="24"/>
          <w:szCs w:val="24"/>
          <w:lang w:val="en-US" w:eastAsia="en-GB"/>
        </w:rPr>
        <w:t xml:space="preserve">(Marginson, 1997; Levy, 1992). The most obvious </w:t>
      </w:r>
      <w:r w:rsidR="00CC13D4" w:rsidRPr="007D4016">
        <w:rPr>
          <w:rFonts w:ascii="Times New Roman" w:hAnsi="Times New Roman"/>
          <w:sz w:val="24"/>
          <w:szCs w:val="24"/>
          <w:lang w:val="en-US" w:eastAsia="en-GB"/>
        </w:rPr>
        <w:t xml:space="preserve">delineating </w:t>
      </w:r>
      <w:r w:rsidRPr="007D4016">
        <w:rPr>
          <w:rFonts w:ascii="Times New Roman" w:hAnsi="Times New Roman"/>
          <w:sz w:val="24"/>
          <w:szCs w:val="24"/>
          <w:lang w:val="en-US" w:eastAsia="en-GB"/>
        </w:rPr>
        <w:t>criterion is</w:t>
      </w:r>
      <w:r w:rsidR="008B7B3B" w:rsidRPr="007D4016">
        <w:rPr>
          <w:rFonts w:ascii="Times New Roman" w:hAnsi="Times New Roman"/>
          <w:sz w:val="24"/>
          <w:szCs w:val="24"/>
          <w:lang w:val="en-US" w:eastAsia="en-GB"/>
        </w:rPr>
        <w:t xml:space="preserve"> ownership (or founding source)</w:t>
      </w:r>
      <w:r w:rsidR="001B26C2">
        <w:rPr>
          <w:rFonts w:ascii="Times New Roman" w:hAnsi="Times New Roman"/>
          <w:sz w:val="24"/>
          <w:szCs w:val="24"/>
          <w:lang w:val="en-US" w:eastAsia="en-GB"/>
        </w:rPr>
        <w:t>,</w:t>
      </w:r>
      <w:r w:rsidR="008B7B3B" w:rsidRPr="007D4016">
        <w:rPr>
          <w:rFonts w:ascii="Times New Roman" w:hAnsi="Times New Roman"/>
          <w:sz w:val="24"/>
          <w:szCs w:val="24"/>
          <w:lang w:val="en-US" w:eastAsia="en-GB"/>
        </w:rPr>
        <w:t xml:space="preserve"> which is often closely related to the institutions’ funding model. The ownership of higher education can be exclusively public, or mixed, or exclusively private</w:t>
      </w:r>
      <w:r w:rsidR="00CC13D4" w:rsidRPr="007D4016">
        <w:rPr>
          <w:rFonts w:ascii="Times New Roman" w:hAnsi="Times New Roman"/>
          <w:sz w:val="24"/>
          <w:szCs w:val="24"/>
          <w:lang w:val="en-US" w:eastAsia="en-GB"/>
        </w:rPr>
        <w:t xml:space="preserve"> (ibid.).  P</w:t>
      </w:r>
      <w:r w:rsidR="008B7B3B" w:rsidRPr="007D4016">
        <w:rPr>
          <w:rFonts w:ascii="Times New Roman" w:hAnsi="Times New Roman"/>
          <w:sz w:val="24"/>
          <w:szCs w:val="24"/>
          <w:lang w:val="en-US" w:eastAsia="en-GB"/>
        </w:rPr>
        <w:t xml:space="preserve">ublic institutions depend largely on public support, while private institutions rely primarily on private funding (Marginson, 1997). </w:t>
      </w:r>
      <w:r w:rsidR="00EA6DA4" w:rsidRPr="007D4016">
        <w:rPr>
          <w:rFonts w:ascii="Times New Roman" w:hAnsi="Times New Roman"/>
          <w:sz w:val="24"/>
          <w:szCs w:val="24"/>
          <w:lang w:val="en-US" w:eastAsia="en-GB"/>
        </w:rPr>
        <w:t>In the Western Balkans, t</w:t>
      </w:r>
      <w:r w:rsidR="008B7B3B" w:rsidRPr="007D4016">
        <w:rPr>
          <w:rFonts w:ascii="Times New Roman" w:hAnsi="Times New Roman"/>
          <w:sz w:val="24"/>
          <w:szCs w:val="24"/>
          <w:lang w:val="en-US" w:eastAsia="en-GB"/>
        </w:rPr>
        <w:t>here are instances of mixed public-private ownership</w:t>
      </w:r>
      <w:r w:rsidRPr="007D4016">
        <w:rPr>
          <w:rFonts w:ascii="Times New Roman" w:hAnsi="Times New Roman"/>
          <w:sz w:val="24"/>
          <w:szCs w:val="24"/>
          <w:lang w:val="en-US" w:eastAsia="en-GB"/>
        </w:rPr>
        <w:t>,</w:t>
      </w:r>
      <w:r w:rsidR="008B7B3B" w:rsidRPr="007D4016">
        <w:rPr>
          <w:rFonts w:ascii="Times New Roman" w:hAnsi="Times New Roman"/>
          <w:sz w:val="24"/>
          <w:szCs w:val="24"/>
          <w:lang w:val="en-US" w:eastAsia="en-GB"/>
        </w:rPr>
        <w:t xml:space="preserve"> with governments co-financing the institutions established by municipalities (e.g.</w:t>
      </w:r>
      <w:r w:rsidR="001B26C2">
        <w:rPr>
          <w:rFonts w:ascii="Times New Roman" w:hAnsi="Times New Roman"/>
          <w:sz w:val="24"/>
          <w:szCs w:val="24"/>
          <w:lang w:val="en-US" w:eastAsia="en-GB"/>
        </w:rPr>
        <w:t>,</w:t>
      </w:r>
      <w:r w:rsidR="008B7B3B" w:rsidRPr="007D4016">
        <w:rPr>
          <w:rFonts w:ascii="Times New Roman" w:hAnsi="Times New Roman"/>
          <w:sz w:val="24"/>
          <w:szCs w:val="24"/>
          <w:lang w:val="en-US" w:eastAsia="en-GB"/>
        </w:rPr>
        <w:t xml:space="preserve"> University of Nova Gorica, Slovenia), by religious communities (e.g.</w:t>
      </w:r>
      <w:r w:rsidR="001B26C2">
        <w:rPr>
          <w:rFonts w:ascii="Times New Roman" w:hAnsi="Times New Roman"/>
          <w:sz w:val="24"/>
          <w:szCs w:val="24"/>
          <w:lang w:val="en-US" w:eastAsia="en-GB"/>
        </w:rPr>
        <w:t>,</w:t>
      </w:r>
      <w:r w:rsidR="008B7B3B" w:rsidRPr="007D4016">
        <w:rPr>
          <w:rFonts w:ascii="Times New Roman" w:hAnsi="Times New Roman"/>
          <w:sz w:val="24"/>
          <w:szCs w:val="24"/>
          <w:lang w:val="en-US" w:eastAsia="en-GB"/>
        </w:rPr>
        <w:t xml:space="preserve"> International University of Novi Pazar, Serbia or Orthodox Faculty of Theology and Faculty of Islamic Sciences in Skopje, Macedonia) or with “seed-funding” provided through donations from international organi</w:t>
      </w:r>
      <w:r w:rsidR="001B26C2">
        <w:rPr>
          <w:rFonts w:ascii="Times New Roman" w:hAnsi="Times New Roman"/>
          <w:sz w:val="24"/>
          <w:szCs w:val="24"/>
          <w:lang w:val="en-US" w:eastAsia="en-GB"/>
        </w:rPr>
        <w:t>z</w:t>
      </w:r>
      <w:r w:rsidR="008B7B3B" w:rsidRPr="007D4016">
        <w:rPr>
          <w:rFonts w:ascii="Times New Roman" w:hAnsi="Times New Roman"/>
          <w:sz w:val="24"/>
          <w:szCs w:val="24"/>
          <w:lang w:val="en-US" w:eastAsia="en-GB"/>
        </w:rPr>
        <w:t>ations (e.g.</w:t>
      </w:r>
      <w:r w:rsidR="001B26C2">
        <w:rPr>
          <w:rFonts w:ascii="Times New Roman" w:hAnsi="Times New Roman"/>
          <w:sz w:val="24"/>
          <w:szCs w:val="24"/>
          <w:lang w:val="en-US" w:eastAsia="en-GB"/>
        </w:rPr>
        <w:t>,</w:t>
      </w:r>
      <w:r w:rsidR="008B7B3B" w:rsidRPr="007D4016">
        <w:rPr>
          <w:rFonts w:ascii="Times New Roman" w:hAnsi="Times New Roman"/>
          <w:sz w:val="24"/>
          <w:szCs w:val="24"/>
          <w:lang w:val="en-US" w:eastAsia="en-GB"/>
        </w:rPr>
        <w:t xml:space="preserve"> the Southeast European Un</w:t>
      </w:r>
      <w:r w:rsidR="00EA6DA4" w:rsidRPr="007D4016">
        <w:rPr>
          <w:rFonts w:ascii="Times New Roman" w:hAnsi="Times New Roman"/>
          <w:sz w:val="24"/>
          <w:szCs w:val="24"/>
          <w:lang w:val="en-US" w:eastAsia="en-GB"/>
        </w:rPr>
        <w:t>iversity in Tetovo, Macedonia). For the purposes of this article, we conceive the private higher education sector as consisting of both privately-owned higher education establishments as well as those established by public bodies, such as municipalities, regional governments, and religious and ethnic communities, but not owned by the state. This distinction reflects the regional legislation where we typically only find the distinction between institutions owned by the state (referred to as public or state-owned) and other institutions (only referred to as “higher education institutions” without a specific designation as in cases of Bosnian and Albanian legislation, or designated as “private” elsewhere).</w:t>
      </w:r>
      <w:r w:rsidR="000D2C40">
        <w:rPr>
          <w:rFonts w:ascii="Times New Roman" w:hAnsi="Times New Roman"/>
          <w:sz w:val="24"/>
          <w:szCs w:val="24"/>
          <w:lang w:val="en-US" w:eastAsia="en-GB"/>
        </w:rPr>
        <w:t>[2]</w:t>
      </w:r>
    </w:p>
    <w:p w14:paraId="278B0D90" w14:textId="23F69D2D" w:rsidR="00904C46" w:rsidRPr="007D4016" w:rsidRDefault="004B6005" w:rsidP="00545F1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At</w:t>
      </w:r>
      <w:r w:rsidR="008B7B3B" w:rsidRPr="007D4016">
        <w:rPr>
          <w:rFonts w:ascii="Times New Roman" w:hAnsi="Times New Roman"/>
          <w:sz w:val="24"/>
          <w:szCs w:val="24"/>
          <w:lang w:val="en-US" w:eastAsia="en-GB"/>
        </w:rPr>
        <w:t xml:space="preserve"> the heart of the analysis of private-public dynamics lies the role of the state and governments’ public policy choices: why states allow private providers, how they regulate them and how they position them vis-à-vis public institutions. The state shapes the public-private relations through legislative, financial</w:t>
      </w:r>
      <w:r w:rsidR="000D2C40">
        <w:rPr>
          <w:rFonts w:ascii="Times New Roman" w:hAnsi="Times New Roman"/>
          <w:sz w:val="24"/>
          <w:szCs w:val="24"/>
          <w:lang w:val="en-US" w:eastAsia="en-GB"/>
        </w:rPr>
        <w:t>,</w:t>
      </w:r>
      <w:r w:rsidR="008B7B3B" w:rsidRPr="007D4016">
        <w:rPr>
          <w:rFonts w:ascii="Times New Roman" w:hAnsi="Times New Roman"/>
          <w:sz w:val="24"/>
          <w:szCs w:val="24"/>
          <w:lang w:val="en-US" w:eastAsia="en-GB"/>
        </w:rPr>
        <w:t xml:space="preserve"> and regulatory mechanisms (Kwiek, 2006).</w:t>
      </w:r>
      <w:r w:rsidR="000B7CE1" w:rsidRPr="007D4016">
        <w:rPr>
          <w:rFonts w:ascii="Times New Roman" w:hAnsi="Times New Roman"/>
          <w:sz w:val="24"/>
          <w:szCs w:val="24"/>
          <w:lang w:val="en-US" w:eastAsia="en-GB"/>
        </w:rPr>
        <w:t xml:space="preserve"> </w:t>
      </w:r>
      <w:r w:rsidR="00545F16" w:rsidRPr="007D4016">
        <w:rPr>
          <w:rFonts w:ascii="Times New Roman" w:hAnsi="Times New Roman"/>
          <w:sz w:val="24"/>
          <w:szCs w:val="24"/>
          <w:lang w:val="en-US" w:eastAsia="en-GB"/>
        </w:rPr>
        <w:t>Geiger (1986) suggests that there are three kinds of demands for private higher education: for “more” (demand-absorbing), "better" (elite or semi-elite types)</w:t>
      </w:r>
      <w:r w:rsidR="000D2C40">
        <w:rPr>
          <w:rFonts w:ascii="Times New Roman" w:hAnsi="Times New Roman"/>
          <w:sz w:val="24"/>
          <w:szCs w:val="24"/>
          <w:lang w:val="en-US" w:eastAsia="en-GB"/>
        </w:rPr>
        <w:t>,</w:t>
      </w:r>
      <w:r w:rsidR="00545F16" w:rsidRPr="007D4016">
        <w:rPr>
          <w:rFonts w:ascii="Times New Roman" w:hAnsi="Times New Roman"/>
          <w:sz w:val="24"/>
          <w:szCs w:val="24"/>
          <w:lang w:val="en-US" w:eastAsia="en-GB"/>
        </w:rPr>
        <w:t xml:space="preserve"> and “different” (catering for special interests either in programmatic sense or based on the needs of ethnic and religious minorities) </w:t>
      </w:r>
      <w:r w:rsidR="00545F60" w:rsidRPr="007D4016">
        <w:rPr>
          <w:rFonts w:ascii="Times New Roman" w:hAnsi="Times New Roman"/>
          <w:sz w:val="24"/>
          <w:szCs w:val="24"/>
          <w:lang w:val="en-US" w:eastAsia="en-GB"/>
        </w:rPr>
        <w:t>education. Teixeira et al. (2013</w:t>
      </w:r>
      <w:r w:rsidR="00545F16" w:rsidRPr="007D4016">
        <w:rPr>
          <w:rFonts w:ascii="Times New Roman" w:hAnsi="Times New Roman"/>
          <w:sz w:val="24"/>
          <w:szCs w:val="24"/>
          <w:lang w:val="en-US" w:eastAsia="en-GB"/>
        </w:rPr>
        <w:t>) develop the latter point by suggesting that governments expect that private providers will add to system efficiency by seeking market</w:t>
      </w:r>
      <w:r w:rsidR="000D2C40">
        <w:rPr>
          <w:rFonts w:ascii="Times New Roman" w:hAnsi="Times New Roman"/>
          <w:sz w:val="24"/>
          <w:szCs w:val="24"/>
          <w:lang w:val="en-US" w:eastAsia="en-GB"/>
        </w:rPr>
        <w:t xml:space="preserve"> </w:t>
      </w:r>
      <w:r w:rsidR="00545F16" w:rsidRPr="007D4016">
        <w:rPr>
          <w:rFonts w:ascii="Times New Roman" w:hAnsi="Times New Roman"/>
          <w:sz w:val="24"/>
          <w:szCs w:val="24"/>
          <w:lang w:val="en-US" w:eastAsia="en-GB"/>
        </w:rPr>
        <w:t xml:space="preserve">niches in programmatic supply and by being more responsive to the </w:t>
      </w:r>
      <w:r w:rsidR="007D4016" w:rsidRPr="007D4016">
        <w:rPr>
          <w:rFonts w:ascii="Times New Roman" w:hAnsi="Times New Roman"/>
          <w:sz w:val="24"/>
          <w:szCs w:val="24"/>
          <w:lang w:val="en-US" w:eastAsia="en-GB"/>
        </w:rPr>
        <w:t>labor</w:t>
      </w:r>
      <w:r w:rsidR="00545F16" w:rsidRPr="007D4016">
        <w:rPr>
          <w:rFonts w:ascii="Times New Roman" w:hAnsi="Times New Roman"/>
          <w:sz w:val="24"/>
          <w:szCs w:val="24"/>
          <w:lang w:val="en-US" w:eastAsia="en-GB"/>
        </w:rPr>
        <w:t xml:space="preserve"> market demands for particular skills and co</w:t>
      </w:r>
      <w:r w:rsidR="00545F60" w:rsidRPr="007D4016">
        <w:rPr>
          <w:rFonts w:ascii="Times New Roman" w:hAnsi="Times New Roman"/>
          <w:sz w:val="24"/>
          <w:szCs w:val="24"/>
          <w:lang w:val="en-US" w:eastAsia="en-GB"/>
        </w:rPr>
        <w:t>mpetences</w:t>
      </w:r>
      <w:r w:rsidR="00545F16" w:rsidRPr="007D4016">
        <w:rPr>
          <w:rFonts w:ascii="Times New Roman" w:hAnsi="Times New Roman"/>
          <w:sz w:val="24"/>
          <w:szCs w:val="24"/>
          <w:lang w:val="en-US" w:eastAsia="en-GB"/>
        </w:rPr>
        <w:t>. Furthermore, Tierney (1998) shows that allowing for private higher education provision has been seen by governments as an instrument to prompt public institutions to become more efficient; hence t</w:t>
      </w:r>
      <w:r w:rsidR="00753849" w:rsidRPr="007D4016">
        <w:rPr>
          <w:rFonts w:ascii="Times New Roman" w:hAnsi="Times New Roman"/>
          <w:sz w:val="24"/>
          <w:szCs w:val="24"/>
          <w:lang w:val="en-US" w:eastAsia="en-GB"/>
        </w:rPr>
        <w:t>hey seek to</w:t>
      </w:r>
      <w:r w:rsidR="00545F16" w:rsidRPr="007D4016">
        <w:rPr>
          <w:rFonts w:ascii="Times New Roman" w:hAnsi="Times New Roman"/>
          <w:sz w:val="24"/>
          <w:szCs w:val="24"/>
          <w:lang w:val="en-US" w:eastAsia="en-GB"/>
        </w:rPr>
        <w:t xml:space="preserve"> promote quality in the system by inserting more competition. </w:t>
      </w:r>
      <w:r w:rsidR="00904C46" w:rsidRPr="007D4016">
        <w:rPr>
          <w:rFonts w:ascii="Times New Roman" w:hAnsi="Times New Roman"/>
          <w:sz w:val="24"/>
          <w:szCs w:val="24"/>
          <w:lang w:val="en-US" w:eastAsia="en-GB"/>
        </w:rPr>
        <w:t xml:space="preserve">In other words, there are different roles </w:t>
      </w:r>
      <w:r w:rsidR="000D2C40">
        <w:rPr>
          <w:rFonts w:ascii="Times New Roman" w:hAnsi="Times New Roman"/>
          <w:sz w:val="24"/>
          <w:szCs w:val="24"/>
          <w:lang w:val="en-US" w:eastAsia="en-GB"/>
        </w:rPr>
        <w:t>envisioned</w:t>
      </w:r>
      <w:r w:rsidR="00904C46" w:rsidRPr="007D4016">
        <w:rPr>
          <w:rFonts w:ascii="Times New Roman" w:hAnsi="Times New Roman"/>
          <w:sz w:val="24"/>
          <w:szCs w:val="24"/>
          <w:lang w:val="en-US" w:eastAsia="en-GB"/>
        </w:rPr>
        <w:t xml:space="preserve"> for private providers within national systems. </w:t>
      </w:r>
    </w:p>
    <w:p w14:paraId="1C941253" w14:textId="61C09058" w:rsidR="00904C46" w:rsidRPr="007D4016" w:rsidRDefault="00904C46" w:rsidP="00904C4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The most relevant </w:t>
      </w:r>
      <w:r w:rsidR="000B7CE1" w:rsidRPr="007D4016">
        <w:rPr>
          <w:rFonts w:ascii="Times New Roman" w:hAnsi="Times New Roman"/>
          <w:sz w:val="24"/>
          <w:szCs w:val="24"/>
          <w:lang w:val="en-US" w:eastAsia="en-GB"/>
        </w:rPr>
        <w:t xml:space="preserve">regulatory </w:t>
      </w:r>
      <w:r w:rsidR="00EA6DA4" w:rsidRPr="007D4016">
        <w:rPr>
          <w:rFonts w:ascii="Times New Roman" w:hAnsi="Times New Roman"/>
          <w:sz w:val="24"/>
          <w:szCs w:val="24"/>
          <w:lang w:val="en-US" w:eastAsia="en-GB"/>
        </w:rPr>
        <w:t>instruments concerning private provision</w:t>
      </w:r>
      <w:r w:rsidRPr="007D4016">
        <w:rPr>
          <w:rFonts w:ascii="Times New Roman" w:hAnsi="Times New Roman"/>
          <w:sz w:val="24"/>
          <w:szCs w:val="24"/>
          <w:lang w:val="en-US" w:eastAsia="en-GB"/>
        </w:rPr>
        <w:t xml:space="preserve"> </w:t>
      </w:r>
      <w:r w:rsidR="000B7CE1" w:rsidRPr="007D4016">
        <w:rPr>
          <w:rFonts w:ascii="Times New Roman" w:hAnsi="Times New Roman"/>
          <w:sz w:val="24"/>
          <w:szCs w:val="24"/>
          <w:lang w:val="en-US" w:eastAsia="en-GB"/>
        </w:rPr>
        <w:t>include</w:t>
      </w:r>
      <w:r w:rsidR="00946F7D" w:rsidRPr="007D4016">
        <w:rPr>
          <w:rFonts w:ascii="Times New Roman" w:hAnsi="Times New Roman"/>
          <w:sz w:val="24"/>
          <w:szCs w:val="24"/>
          <w:lang w:val="en-US" w:eastAsia="en-GB"/>
        </w:rPr>
        <w:t xml:space="preserve"> </w:t>
      </w:r>
      <w:r w:rsidRPr="007D4016">
        <w:rPr>
          <w:rFonts w:ascii="Times New Roman" w:hAnsi="Times New Roman"/>
          <w:sz w:val="24"/>
          <w:szCs w:val="24"/>
          <w:lang w:val="en-US" w:eastAsia="en-GB"/>
        </w:rPr>
        <w:t xml:space="preserve">conditions for obtaining a </w:t>
      </w:r>
      <w:r w:rsidR="007D4016" w:rsidRPr="007D4016">
        <w:rPr>
          <w:rFonts w:ascii="Times New Roman" w:hAnsi="Times New Roman"/>
          <w:sz w:val="24"/>
          <w:szCs w:val="24"/>
          <w:lang w:val="en-US" w:eastAsia="en-GB"/>
        </w:rPr>
        <w:t>license</w:t>
      </w:r>
      <w:r w:rsidRPr="007D4016">
        <w:rPr>
          <w:rFonts w:ascii="Times New Roman" w:hAnsi="Times New Roman"/>
          <w:sz w:val="24"/>
          <w:szCs w:val="24"/>
          <w:lang w:val="en-US" w:eastAsia="en-GB"/>
        </w:rPr>
        <w:t xml:space="preserve"> to operate, </w:t>
      </w:r>
      <w:r w:rsidR="00946F7D" w:rsidRPr="007D4016">
        <w:rPr>
          <w:rFonts w:ascii="Times New Roman" w:hAnsi="Times New Roman"/>
          <w:sz w:val="24"/>
          <w:szCs w:val="24"/>
          <w:lang w:val="en-US" w:eastAsia="en-GB"/>
        </w:rPr>
        <w:t xml:space="preserve">and </w:t>
      </w:r>
      <w:r w:rsidRPr="007D4016">
        <w:rPr>
          <w:rFonts w:ascii="Times New Roman" w:hAnsi="Times New Roman"/>
          <w:sz w:val="24"/>
          <w:szCs w:val="24"/>
          <w:lang w:val="en-US" w:eastAsia="en-GB"/>
        </w:rPr>
        <w:t xml:space="preserve">standards and regulations regarding </w:t>
      </w:r>
      <w:r w:rsidR="000B7CE1" w:rsidRPr="007D4016">
        <w:rPr>
          <w:rFonts w:ascii="Times New Roman" w:hAnsi="Times New Roman"/>
          <w:sz w:val="24"/>
          <w:szCs w:val="24"/>
          <w:lang w:val="en-US" w:eastAsia="en-GB"/>
        </w:rPr>
        <w:t xml:space="preserve">their </w:t>
      </w:r>
      <w:r w:rsidRPr="007D4016">
        <w:rPr>
          <w:rFonts w:ascii="Times New Roman" w:hAnsi="Times New Roman"/>
          <w:sz w:val="24"/>
          <w:szCs w:val="24"/>
          <w:lang w:val="en-US" w:eastAsia="en-GB"/>
        </w:rPr>
        <w:t xml:space="preserve">accreditation. </w:t>
      </w:r>
      <w:r w:rsidR="006957E4" w:rsidRPr="007D4016">
        <w:rPr>
          <w:rFonts w:ascii="Times New Roman" w:hAnsi="Times New Roman"/>
          <w:sz w:val="24"/>
          <w:szCs w:val="24"/>
          <w:lang w:val="en-US" w:eastAsia="en-GB"/>
        </w:rPr>
        <w:t>The required</w:t>
      </w:r>
      <w:r w:rsidRPr="007D4016">
        <w:rPr>
          <w:rFonts w:ascii="Times New Roman" w:hAnsi="Times New Roman"/>
          <w:sz w:val="24"/>
          <w:szCs w:val="24"/>
          <w:lang w:val="en-US" w:eastAsia="en-GB"/>
        </w:rPr>
        <w:t xml:space="preserve"> resources </w:t>
      </w:r>
      <w:r w:rsidR="006957E4" w:rsidRPr="007D4016">
        <w:rPr>
          <w:rFonts w:ascii="Times New Roman" w:hAnsi="Times New Roman"/>
          <w:sz w:val="24"/>
          <w:szCs w:val="24"/>
          <w:lang w:val="en-US" w:eastAsia="en-GB"/>
        </w:rPr>
        <w:t>for</w:t>
      </w:r>
      <w:r w:rsidRPr="007D4016">
        <w:rPr>
          <w:rFonts w:ascii="Times New Roman" w:hAnsi="Times New Roman"/>
          <w:sz w:val="24"/>
          <w:szCs w:val="24"/>
          <w:lang w:val="en-US" w:eastAsia="en-GB"/>
        </w:rPr>
        <w:t xml:space="preserve"> obtain</w:t>
      </w:r>
      <w:r w:rsidR="006957E4" w:rsidRPr="007D4016">
        <w:rPr>
          <w:rFonts w:ascii="Times New Roman" w:hAnsi="Times New Roman"/>
          <w:sz w:val="24"/>
          <w:szCs w:val="24"/>
          <w:lang w:val="en-US" w:eastAsia="en-GB"/>
        </w:rPr>
        <w:t>ing</w:t>
      </w:r>
      <w:r w:rsidRPr="007D4016">
        <w:rPr>
          <w:rFonts w:ascii="Times New Roman" w:hAnsi="Times New Roman"/>
          <w:sz w:val="24"/>
          <w:szCs w:val="24"/>
          <w:lang w:val="en-US" w:eastAsia="en-GB"/>
        </w:rPr>
        <w:t xml:space="preserve"> a </w:t>
      </w:r>
      <w:r w:rsidR="007D4016" w:rsidRPr="007D4016">
        <w:rPr>
          <w:rFonts w:ascii="Times New Roman" w:hAnsi="Times New Roman"/>
          <w:sz w:val="24"/>
          <w:szCs w:val="24"/>
          <w:lang w:val="en-US" w:eastAsia="en-GB"/>
        </w:rPr>
        <w:t>license</w:t>
      </w:r>
      <w:r w:rsidRPr="007D4016">
        <w:rPr>
          <w:rFonts w:ascii="Times New Roman" w:hAnsi="Times New Roman"/>
          <w:sz w:val="24"/>
          <w:szCs w:val="24"/>
          <w:lang w:val="en-US" w:eastAsia="en-GB"/>
        </w:rPr>
        <w:t xml:space="preserve"> </w:t>
      </w:r>
      <w:r w:rsidR="006957E4" w:rsidRPr="007D4016">
        <w:rPr>
          <w:rFonts w:ascii="Times New Roman" w:hAnsi="Times New Roman"/>
          <w:sz w:val="24"/>
          <w:szCs w:val="24"/>
          <w:lang w:val="en-US" w:eastAsia="en-GB"/>
        </w:rPr>
        <w:t xml:space="preserve">typically include </w:t>
      </w:r>
      <w:r w:rsidR="000D2C40">
        <w:rPr>
          <w:rFonts w:ascii="Times New Roman" w:hAnsi="Times New Roman"/>
          <w:sz w:val="24"/>
          <w:szCs w:val="24"/>
          <w:lang w:val="en-US" w:eastAsia="en-GB"/>
        </w:rPr>
        <w:t xml:space="preserve">a </w:t>
      </w:r>
      <w:r w:rsidR="006957E4" w:rsidRPr="007D4016">
        <w:rPr>
          <w:rFonts w:ascii="Times New Roman" w:hAnsi="Times New Roman"/>
          <w:sz w:val="24"/>
          <w:szCs w:val="24"/>
          <w:lang w:val="en-US" w:eastAsia="en-GB"/>
        </w:rPr>
        <w:t xml:space="preserve">number </w:t>
      </w:r>
      <w:r w:rsidRPr="007D4016">
        <w:rPr>
          <w:rFonts w:ascii="Times New Roman" w:hAnsi="Times New Roman"/>
          <w:sz w:val="24"/>
          <w:szCs w:val="24"/>
          <w:lang w:val="en-US" w:eastAsia="en-GB"/>
        </w:rPr>
        <w:t xml:space="preserve">of full-time academics, </w:t>
      </w:r>
      <w:r w:rsidR="00753849" w:rsidRPr="007D4016">
        <w:rPr>
          <w:rFonts w:ascii="Times New Roman" w:hAnsi="Times New Roman"/>
          <w:sz w:val="24"/>
          <w:szCs w:val="24"/>
          <w:lang w:val="en-US" w:eastAsia="en-GB"/>
        </w:rPr>
        <w:t xml:space="preserve">physical </w:t>
      </w:r>
      <w:r w:rsidRPr="007D4016">
        <w:rPr>
          <w:rFonts w:ascii="Times New Roman" w:hAnsi="Times New Roman"/>
          <w:sz w:val="24"/>
          <w:szCs w:val="24"/>
          <w:lang w:val="en-US" w:eastAsia="en-GB"/>
        </w:rPr>
        <w:t>space</w:t>
      </w:r>
      <w:r w:rsidR="000D2C40">
        <w:rPr>
          <w:rFonts w:ascii="Times New Roman" w:hAnsi="Times New Roman"/>
          <w:sz w:val="24"/>
          <w:szCs w:val="24"/>
          <w:lang w:val="en-US" w:eastAsia="en-GB"/>
        </w:rPr>
        <w:t>,</w:t>
      </w:r>
      <w:r w:rsidRPr="007D4016">
        <w:rPr>
          <w:rFonts w:ascii="Times New Roman" w:hAnsi="Times New Roman"/>
          <w:sz w:val="24"/>
          <w:szCs w:val="24"/>
          <w:lang w:val="en-US" w:eastAsia="en-GB"/>
        </w:rPr>
        <w:t xml:space="preserve"> and financial capital. </w:t>
      </w:r>
      <w:r w:rsidR="006957E4" w:rsidRPr="007D4016">
        <w:rPr>
          <w:rFonts w:ascii="Times New Roman" w:hAnsi="Times New Roman"/>
          <w:sz w:val="24"/>
          <w:szCs w:val="24"/>
          <w:lang w:val="en-US" w:eastAsia="en-GB"/>
        </w:rPr>
        <w:t xml:space="preserve">In accreditation, </w:t>
      </w:r>
      <w:r w:rsidR="004B6005" w:rsidRPr="007D4016">
        <w:rPr>
          <w:rFonts w:ascii="Times New Roman" w:hAnsi="Times New Roman"/>
          <w:sz w:val="24"/>
          <w:szCs w:val="24"/>
          <w:lang w:val="en-US" w:eastAsia="en-GB"/>
        </w:rPr>
        <w:t xml:space="preserve">the </w:t>
      </w:r>
      <w:r w:rsidR="000B7CE1" w:rsidRPr="007D4016">
        <w:rPr>
          <w:rFonts w:ascii="Times New Roman" w:hAnsi="Times New Roman"/>
          <w:sz w:val="24"/>
          <w:szCs w:val="24"/>
          <w:lang w:val="en-US" w:eastAsia="en-GB"/>
        </w:rPr>
        <w:t xml:space="preserve">same standards and procedures </w:t>
      </w:r>
      <w:r w:rsidR="006957E4" w:rsidRPr="007D4016">
        <w:rPr>
          <w:rFonts w:ascii="Times New Roman" w:hAnsi="Times New Roman"/>
          <w:sz w:val="24"/>
          <w:szCs w:val="24"/>
          <w:lang w:val="en-US" w:eastAsia="en-GB"/>
        </w:rPr>
        <w:t>tend to be</w:t>
      </w:r>
      <w:r w:rsidR="000B7CE1" w:rsidRPr="007D4016">
        <w:rPr>
          <w:rFonts w:ascii="Times New Roman" w:hAnsi="Times New Roman"/>
          <w:sz w:val="24"/>
          <w:szCs w:val="24"/>
          <w:lang w:val="en-US" w:eastAsia="en-GB"/>
        </w:rPr>
        <w:t xml:space="preserve"> </w:t>
      </w:r>
      <w:r w:rsidR="000D2C40">
        <w:rPr>
          <w:rFonts w:ascii="Times New Roman" w:hAnsi="Times New Roman"/>
          <w:sz w:val="24"/>
          <w:szCs w:val="24"/>
          <w:lang w:val="en-US" w:eastAsia="en-GB"/>
        </w:rPr>
        <w:t>set</w:t>
      </w:r>
      <w:r w:rsidR="000B7CE1" w:rsidRPr="007D4016">
        <w:rPr>
          <w:rFonts w:ascii="Times New Roman" w:hAnsi="Times New Roman"/>
          <w:sz w:val="24"/>
          <w:szCs w:val="24"/>
          <w:lang w:val="en-US" w:eastAsia="en-GB"/>
        </w:rPr>
        <w:t xml:space="preserve"> for both sectors. In the context of predominantly public higher education, like in the Western Balkans, </w:t>
      </w:r>
      <w:r w:rsidR="000D2C40">
        <w:rPr>
          <w:rFonts w:ascii="Times New Roman" w:hAnsi="Times New Roman"/>
          <w:sz w:val="24"/>
          <w:szCs w:val="24"/>
          <w:lang w:val="en-US" w:eastAsia="en-GB"/>
        </w:rPr>
        <w:t xml:space="preserve">the nature of the </w:t>
      </w:r>
      <w:r w:rsidR="006957E4" w:rsidRPr="007D4016">
        <w:rPr>
          <w:rFonts w:ascii="Times New Roman" w:hAnsi="Times New Roman"/>
          <w:sz w:val="24"/>
          <w:szCs w:val="24"/>
          <w:lang w:val="en-US" w:eastAsia="en-GB"/>
        </w:rPr>
        <w:t xml:space="preserve">public-private dynamics </w:t>
      </w:r>
      <w:r w:rsidR="000D2C40">
        <w:rPr>
          <w:rFonts w:ascii="Times New Roman" w:hAnsi="Times New Roman"/>
          <w:sz w:val="24"/>
          <w:szCs w:val="24"/>
          <w:lang w:val="en-US" w:eastAsia="en-GB"/>
        </w:rPr>
        <w:t xml:space="preserve">is also </w:t>
      </w:r>
      <w:r w:rsidR="00F60F75">
        <w:rPr>
          <w:rFonts w:ascii="Times New Roman" w:hAnsi="Times New Roman"/>
          <w:sz w:val="24"/>
          <w:szCs w:val="24"/>
          <w:lang w:val="en-US" w:eastAsia="en-GB"/>
        </w:rPr>
        <w:t xml:space="preserve">determined </w:t>
      </w:r>
      <w:r w:rsidR="00F60F75" w:rsidRPr="007D4016">
        <w:rPr>
          <w:rFonts w:ascii="Times New Roman" w:hAnsi="Times New Roman"/>
          <w:sz w:val="24"/>
          <w:szCs w:val="24"/>
          <w:lang w:val="en-US" w:eastAsia="en-GB"/>
        </w:rPr>
        <w:t>by</w:t>
      </w:r>
      <w:r w:rsidRPr="007D4016">
        <w:rPr>
          <w:rFonts w:ascii="Times New Roman" w:hAnsi="Times New Roman"/>
          <w:sz w:val="24"/>
          <w:szCs w:val="24"/>
          <w:lang w:val="en-US" w:eastAsia="en-GB"/>
        </w:rPr>
        <w:t xml:space="preserve"> whether</w:t>
      </w:r>
      <w:r w:rsidR="00946F7D" w:rsidRPr="007D4016">
        <w:rPr>
          <w:rFonts w:ascii="Times New Roman" w:hAnsi="Times New Roman"/>
          <w:sz w:val="24"/>
          <w:szCs w:val="24"/>
          <w:lang w:val="en-US" w:eastAsia="en-GB"/>
        </w:rPr>
        <w:t xml:space="preserve"> and to what extent</w:t>
      </w:r>
      <w:r w:rsidRPr="007D4016">
        <w:rPr>
          <w:rFonts w:ascii="Times New Roman" w:hAnsi="Times New Roman"/>
          <w:sz w:val="24"/>
          <w:szCs w:val="24"/>
          <w:lang w:val="en-US" w:eastAsia="en-GB"/>
        </w:rPr>
        <w:t xml:space="preserve"> governments </w:t>
      </w:r>
      <w:r w:rsidR="000B7CE1" w:rsidRPr="007D4016">
        <w:rPr>
          <w:rFonts w:ascii="Times New Roman" w:hAnsi="Times New Roman"/>
          <w:sz w:val="24"/>
          <w:szCs w:val="24"/>
          <w:lang w:val="en-US" w:eastAsia="en-GB"/>
        </w:rPr>
        <w:t>make</w:t>
      </w:r>
      <w:r w:rsidRPr="007D4016">
        <w:rPr>
          <w:rFonts w:ascii="Times New Roman" w:hAnsi="Times New Roman"/>
          <w:sz w:val="24"/>
          <w:szCs w:val="24"/>
          <w:lang w:val="en-US" w:eastAsia="en-GB"/>
        </w:rPr>
        <w:t xml:space="preserve"> it possible for private providers to gain access to public resources, </w:t>
      </w:r>
      <w:r w:rsidR="000B7CE1" w:rsidRPr="007D4016">
        <w:rPr>
          <w:rFonts w:ascii="Times New Roman" w:hAnsi="Times New Roman"/>
          <w:sz w:val="24"/>
          <w:szCs w:val="24"/>
          <w:lang w:val="en-US" w:eastAsia="en-GB"/>
        </w:rPr>
        <w:t>especially public subsidies for study programs, but also student</w:t>
      </w:r>
      <w:r w:rsidR="00EA6DA4" w:rsidRPr="007D4016">
        <w:rPr>
          <w:rFonts w:ascii="Times New Roman" w:hAnsi="Times New Roman"/>
          <w:sz w:val="24"/>
          <w:szCs w:val="24"/>
          <w:lang w:val="en-US" w:eastAsia="en-GB"/>
        </w:rPr>
        <w:t xml:space="preserve"> support schemes (e.g.</w:t>
      </w:r>
      <w:r w:rsidR="000D2C40">
        <w:rPr>
          <w:rFonts w:ascii="Times New Roman" w:hAnsi="Times New Roman"/>
          <w:sz w:val="24"/>
          <w:szCs w:val="24"/>
          <w:lang w:val="en-US" w:eastAsia="en-GB"/>
        </w:rPr>
        <w:t>,</w:t>
      </w:r>
      <w:r w:rsidR="00EA6DA4" w:rsidRPr="007D4016">
        <w:rPr>
          <w:rFonts w:ascii="Times New Roman" w:hAnsi="Times New Roman"/>
          <w:sz w:val="24"/>
          <w:szCs w:val="24"/>
          <w:lang w:val="en-US" w:eastAsia="en-GB"/>
        </w:rPr>
        <w:t xml:space="preserve"> state</w:t>
      </w:r>
      <w:r w:rsidR="000B7CE1" w:rsidRPr="007D4016">
        <w:rPr>
          <w:rFonts w:ascii="Times New Roman" w:hAnsi="Times New Roman"/>
          <w:sz w:val="24"/>
          <w:szCs w:val="24"/>
          <w:lang w:val="en-US" w:eastAsia="en-GB"/>
        </w:rPr>
        <w:t xml:space="preserve"> grants,</w:t>
      </w:r>
      <w:r w:rsidR="00EA6DA4" w:rsidRPr="007D4016">
        <w:rPr>
          <w:rFonts w:ascii="Times New Roman" w:hAnsi="Times New Roman"/>
          <w:sz w:val="24"/>
          <w:szCs w:val="24"/>
          <w:lang w:val="en-US" w:eastAsia="en-GB"/>
        </w:rPr>
        <w:t xml:space="preserve"> loans and</w:t>
      </w:r>
      <w:r w:rsidR="000B7CE1" w:rsidRPr="007D4016">
        <w:rPr>
          <w:rFonts w:ascii="Times New Roman" w:hAnsi="Times New Roman"/>
          <w:sz w:val="24"/>
          <w:szCs w:val="24"/>
          <w:lang w:val="en-US" w:eastAsia="en-GB"/>
        </w:rPr>
        <w:t xml:space="preserve"> tax exemptions</w:t>
      </w:r>
      <w:r w:rsidR="00EA6DA4" w:rsidRPr="007D4016">
        <w:rPr>
          <w:rFonts w:ascii="Times New Roman" w:hAnsi="Times New Roman"/>
          <w:sz w:val="24"/>
          <w:szCs w:val="24"/>
          <w:lang w:val="en-US" w:eastAsia="en-GB"/>
        </w:rPr>
        <w:t>)</w:t>
      </w:r>
      <w:r w:rsidRPr="007D4016">
        <w:rPr>
          <w:rFonts w:ascii="Times New Roman" w:hAnsi="Times New Roman"/>
          <w:sz w:val="24"/>
          <w:szCs w:val="24"/>
          <w:lang w:val="en-US" w:eastAsia="en-GB"/>
        </w:rPr>
        <w:t xml:space="preserve"> </w:t>
      </w:r>
      <w:r w:rsidR="000B7CE1" w:rsidRPr="007D4016">
        <w:rPr>
          <w:rFonts w:ascii="Times New Roman" w:hAnsi="Times New Roman"/>
          <w:sz w:val="24"/>
          <w:szCs w:val="24"/>
          <w:lang w:val="en-US" w:eastAsia="en-GB"/>
        </w:rPr>
        <w:t>and</w:t>
      </w:r>
      <w:r w:rsidRPr="007D4016">
        <w:rPr>
          <w:rFonts w:ascii="Times New Roman" w:hAnsi="Times New Roman"/>
          <w:sz w:val="24"/>
          <w:szCs w:val="24"/>
          <w:lang w:val="en-US" w:eastAsia="en-GB"/>
        </w:rPr>
        <w:t xml:space="preserve"> public research funding (Zumeta</w:t>
      </w:r>
      <w:r w:rsidR="000D2C40">
        <w:rPr>
          <w:rFonts w:ascii="Times New Roman" w:hAnsi="Times New Roman"/>
          <w:sz w:val="24"/>
          <w:szCs w:val="24"/>
          <w:lang w:val="en-US" w:eastAsia="en-GB"/>
        </w:rPr>
        <w:t>,</w:t>
      </w:r>
      <w:r w:rsidRPr="007D4016">
        <w:rPr>
          <w:rFonts w:ascii="Times New Roman" w:hAnsi="Times New Roman"/>
          <w:sz w:val="24"/>
          <w:szCs w:val="24"/>
          <w:lang w:val="en-US" w:eastAsia="en-GB"/>
        </w:rPr>
        <w:t xml:space="preserve"> 1997)</w:t>
      </w:r>
      <w:r w:rsidR="00946F7D" w:rsidRPr="007D4016">
        <w:rPr>
          <w:rFonts w:ascii="Times New Roman" w:hAnsi="Times New Roman"/>
          <w:sz w:val="24"/>
          <w:szCs w:val="24"/>
          <w:lang w:val="en-US" w:eastAsia="en-GB"/>
        </w:rPr>
        <w:t>. It is not only the emergence of private providers as such, but the competition for public resources</w:t>
      </w:r>
      <w:r w:rsidR="00753849" w:rsidRPr="007D4016">
        <w:rPr>
          <w:rFonts w:ascii="Times New Roman" w:hAnsi="Times New Roman"/>
          <w:sz w:val="24"/>
          <w:szCs w:val="24"/>
          <w:lang w:val="en-US" w:eastAsia="en-GB"/>
        </w:rPr>
        <w:t>,</w:t>
      </w:r>
      <w:r w:rsidR="00946F7D" w:rsidRPr="007D4016">
        <w:rPr>
          <w:rFonts w:ascii="Times New Roman" w:hAnsi="Times New Roman"/>
          <w:sz w:val="24"/>
          <w:szCs w:val="24"/>
          <w:lang w:val="en-US" w:eastAsia="en-GB"/>
        </w:rPr>
        <w:t xml:space="preserve"> which </w:t>
      </w:r>
      <w:r w:rsidRPr="007D4016">
        <w:rPr>
          <w:rFonts w:ascii="Times New Roman" w:hAnsi="Times New Roman"/>
          <w:sz w:val="24"/>
          <w:szCs w:val="24"/>
          <w:lang w:val="en-US" w:eastAsia="en-GB"/>
        </w:rPr>
        <w:t xml:space="preserve">directly impacts the relations between </w:t>
      </w:r>
      <w:r w:rsidR="00EA6DA4" w:rsidRPr="007D4016">
        <w:rPr>
          <w:rFonts w:ascii="Times New Roman" w:hAnsi="Times New Roman"/>
          <w:sz w:val="24"/>
          <w:szCs w:val="24"/>
          <w:lang w:val="en-US" w:eastAsia="en-GB"/>
        </w:rPr>
        <w:t>both sectors.</w:t>
      </w:r>
      <w:r w:rsidRPr="007D4016">
        <w:rPr>
          <w:rFonts w:ascii="Times New Roman" w:hAnsi="Times New Roman"/>
          <w:sz w:val="24"/>
          <w:szCs w:val="24"/>
          <w:lang w:val="en-US" w:eastAsia="en-GB"/>
        </w:rPr>
        <w:t xml:space="preserve"> </w:t>
      </w:r>
    </w:p>
    <w:p w14:paraId="778FB8CA" w14:textId="052867FE" w:rsidR="00C70D0F" w:rsidRPr="007D4016" w:rsidRDefault="009D6DA4" w:rsidP="00691469">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The state </w:t>
      </w:r>
      <w:r w:rsidR="00904C46" w:rsidRPr="007D4016">
        <w:rPr>
          <w:rFonts w:ascii="Times New Roman" w:hAnsi="Times New Roman"/>
          <w:sz w:val="24"/>
          <w:szCs w:val="24"/>
          <w:lang w:val="en-US" w:eastAsia="en-GB"/>
        </w:rPr>
        <w:t xml:space="preserve">shapes the </w:t>
      </w:r>
      <w:r w:rsidRPr="007D4016">
        <w:rPr>
          <w:rFonts w:ascii="Times New Roman" w:hAnsi="Times New Roman"/>
          <w:sz w:val="24"/>
          <w:szCs w:val="24"/>
          <w:lang w:val="en-US" w:eastAsia="en-GB"/>
        </w:rPr>
        <w:t xml:space="preserve">public-private </w:t>
      </w:r>
      <w:r w:rsidR="00904C46" w:rsidRPr="007D4016">
        <w:rPr>
          <w:rFonts w:ascii="Times New Roman" w:hAnsi="Times New Roman"/>
          <w:sz w:val="24"/>
          <w:szCs w:val="24"/>
          <w:lang w:val="en-US" w:eastAsia="en-GB"/>
        </w:rPr>
        <w:t xml:space="preserve">relations by creating conditions that </w:t>
      </w:r>
      <w:r w:rsidR="007D4016" w:rsidRPr="007D4016">
        <w:rPr>
          <w:rFonts w:ascii="Times New Roman" w:hAnsi="Times New Roman"/>
          <w:sz w:val="24"/>
          <w:szCs w:val="24"/>
          <w:lang w:val="en-US" w:eastAsia="en-GB"/>
        </w:rPr>
        <w:t>incentivize</w:t>
      </w:r>
      <w:r w:rsidR="00904C46" w:rsidRPr="007D4016">
        <w:rPr>
          <w:rFonts w:ascii="Times New Roman" w:hAnsi="Times New Roman"/>
          <w:sz w:val="24"/>
          <w:szCs w:val="24"/>
          <w:lang w:val="en-US" w:eastAsia="en-GB"/>
        </w:rPr>
        <w:t xml:space="preserve"> or pressure public higher education institutions towards “</w:t>
      </w:r>
      <w:r w:rsidR="007D4016" w:rsidRPr="007D4016">
        <w:rPr>
          <w:rFonts w:ascii="Times New Roman" w:hAnsi="Times New Roman"/>
          <w:sz w:val="24"/>
          <w:szCs w:val="24"/>
          <w:lang w:val="en-US" w:eastAsia="en-GB"/>
        </w:rPr>
        <w:t>privatization</w:t>
      </w:r>
      <w:r w:rsidR="00904C46" w:rsidRPr="007D4016">
        <w:rPr>
          <w:rFonts w:ascii="Times New Roman" w:hAnsi="Times New Roman"/>
          <w:sz w:val="24"/>
          <w:szCs w:val="24"/>
          <w:lang w:val="en-US" w:eastAsia="en-GB"/>
        </w:rPr>
        <w:t>”</w:t>
      </w:r>
      <w:r w:rsidR="00904C46" w:rsidRPr="007D4016">
        <w:rPr>
          <w:rFonts w:ascii="Times New Roman" w:hAnsi="Times New Roman"/>
          <w:sz w:val="24"/>
          <w:szCs w:val="24"/>
          <w:lang w:val="en-US"/>
        </w:rPr>
        <w:t xml:space="preserve"> </w:t>
      </w:r>
      <w:r w:rsidR="00904C46" w:rsidRPr="007D4016">
        <w:rPr>
          <w:rFonts w:ascii="Times New Roman" w:hAnsi="Times New Roman"/>
          <w:sz w:val="24"/>
          <w:szCs w:val="24"/>
          <w:lang w:val="en-US" w:eastAsia="en-GB"/>
        </w:rPr>
        <w:t>which is seen as a part of a broader process of inserting market-oriented practices into higher education sector</w:t>
      </w:r>
      <w:r w:rsidR="000B7CE1" w:rsidRPr="007D4016">
        <w:rPr>
          <w:rFonts w:ascii="Times New Roman" w:hAnsi="Times New Roman"/>
          <w:sz w:val="24"/>
          <w:szCs w:val="24"/>
          <w:lang w:val="en-US" w:eastAsia="en-GB"/>
        </w:rPr>
        <w:t xml:space="preserve"> </w:t>
      </w:r>
      <w:r w:rsidR="00904C46" w:rsidRPr="007D4016">
        <w:rPr>
          <w:rFonts w:ascii="Times New Roman" w:hAnsi="Times New Roman"/>
          <w:sz w:val="24"/>
          <w:szCs w:val="24"/>
          <w:lang w:val="en-US" w:eastAsia="en-GB"/>
        </w:rPr>
        <w:t>(T</w:t>
      </w:r>
      <w:r w:rsidR="00563EB8" w:rsidRPr="007D4016">
        <w:rPr>
          <w:rFonts w:ascii="Times New Roman" w:hAnsi="Times New Roman"/>
          <w:sz w:val="24"/>
          <w:szCs w:val="24"/>
          <w:lang w:val="en-US" w:eastAsia="en-GB"/>
        </w:rPr>
        <w:t xml:space="preserve">eixeira et al., 2004, pp. 4-5). </w:t>
      </w:r>
      <w:r w:rsidR="007D4016" w:rsidRPr="007D4016">
        <w:rPr>
          <w:rFonts w:ascii="Times New Roman" w:hAnsi="Times New Roman"/>
          <w:sz w:val="24"/>
          <w:szCs w:val="24"/>
          <w:lang w:val="en-US" w:eastAsia="en-GB"/>
        </w:rPr>
        <w:t>Privatization</w:t>
      </w:r>
      <w:r w:rsidR="00904C46" w:rsidRPr="007D4016">
        <w:rPr>
          <w:rFonts w:ascii="Times New Roman" w:hAnsi="Times New Roman"/>
          <w:sz w:val="24"/>
          <w:szCs w:val="24"/>
          <w:lang w:val="en-US" w:eastAsia="en-GB"/>
        </w:rPr>
        <w:t xml:space="preserve"> of public institutions essentially means lowering their dependence on funding provided </w:t>
      </w:r>
      <w:r w:rsidR="0087025C">
        <w:rPr>
          <w:rFonts w:ascii="Times New Roman" w:hAnsi="Times New Roman"/>
          <w:sz w:val="24"/>
          <w:szCs w:val="24"/>
          <w:lang w:val="en-US" w:eastAsia="en-GB"/>
        </w:rPr>
        <w:t>by</w:t>
      </w:r>
      <w:r w:rsidR="00904C46" w:rsidRPr="007D4016">
        <w:rPr>
          <w:rFonts w:ascii="Times New Roman" w:hAnsi="Times New Roman"/>
          <w:sz w:val="24"/>
          <w:szCs w:val="24"/>
          <w:lang w:val="en-US" w:eastAsia="en-GB"/>
        </w:rPr>
        <w:t xml:space="preserve"> the state and introducing more business-like responses to the supply and demand of resources and services (Teixeira et al., 2004, pp. 4-5). </w:t>
      </w:r>
      <w:r w:rsidR="00C70D0F" w:rsidRPr="007D4016">
        <w:rPr>
          <w:rFonts w:ascii="Times New Roman" w:hAnsi="Times New Roman"/>
          <w:sz w:val="24"/>
          <w:szCs w:val="24"/>
          <w:lang w:val="en-US" w:eastAsia="en-GB"/>
        </w:rPr>
        <w:t xml:space="preserve">Market mechanisms can be inserted into higher education systems through different measures. Tuition fees certainly are one such measure, and specifically tuition fees charged to full-time students in </w:t>
      </w:r>
      <w:r w:rsidRPr="007D4016">
        <w:rPr>
          <w:rFonts w:ascii="Times New Roman" w:hAnsi="Times New Roman"/>
          <w:sz w:val="24"/>
          <w:szCs w:val="24"/>
          <w:lang w:val="en-US" w:eastAsia="en-GB"/>
        </w:rPr>
        <w:t xml:space="preserve">public </w:t>
      </w:r>
      <w:r w:rsidR="00C70D0F" w:rsidRPr="007D4016">
        <w:rPr>
          <w:rFonts w:ascii="Times New Roman" w:hAnsi="Times New Roman"/>
          <w:sz w:val="24"/>
          <w:szCs w:val="24"/>
          <w:lang w:val="en-US" w:eastAsia="en-GB"/>
        </w:rPr>
        <w:t xml:space="preserve">undergraduate education, which create direct competition between private and public institutions for fee-paying students. </w:t>
      </w:r>
      <w:r w:rsidR="0087025C">
        <w:rPr>
          <w:rFonts w:ascii="Times New Roman" w:hAnsi="Times New Roman"/>
          <w:sz w:val="24"/>
          <w:szCs w:val="24"/>
          <w:lang w:val="en-US" w:eastAsia="en-GB"/>
        </w:rPr>
        <w:t>T</w:t>
      </w:r>
      <w:r w:rsidR="00545F60" w:rsidRPr="007D4016">
        <w:rPr>
          <w:rFonts w:ascii="Times New Roman" w:hAnsi="Times New Roman"/>
          <w:sz w:val="24"/>
          <w:szCs w:val="24"/>
          <w:lang w:val="en-US" w:eastAsia="en-GB"/>
        </w:rPr>
        <w:t xml:space="preserve">he key issues </w:t>
      </w:r>
      <w:r w:rsidRPr="007D4016">
        <w:rPr>
          <w:rFonts w:ascii="Times New Roman" w:hAnsi="Times New Roman"/>
          <w:sz w:val="24"/>
          <w:szCs w:val="24"/>
          <w:lang w:val="en-US" w:eastAsia="en-GB"/>
        </w:rPr>
        <w:t>at stake are</w:t>
      </w:r>
      <w:r w:rsidR="00545F60" w:rsidRPr="007D4016">
        <w:rPr>
          <w:rFonts w:ascii="Times New Roman" w:hAnsi="Times New Roman"/>
          <w:sz w:val="24"/>
          <w:szCs w:val="24"/>
          <w:lang w:val="en-US" w:eastAsia="en-GB"/>
        </w:rPr>
        <w:t xml:space="preserve"> </w:t>
      </w:r>
      <w:r w:rsidR="00C70D0F" w:rsidRPr="007D4016">
        <w:rPr>
          <w:rFonts w:ascii="Times New Roman" w:hAnsi="Times New Roman"/>
          <w:sz w:val="24"/>
          <w:szCs w:val="24"/>
          <w:lang w:val="en-US" w:eastAsia="en-GB"/>
        </w:rPr>
        <w:t>the share of fee-paying students</w:t>
      </w:r>
      <w:r w:rsidR="00545F60" w:rsidRPr="007D4016">
        <w:rPr>
          <w:rFonts w:ascii="Times New Roman" w:hAnsi="Times New Roman"/>
          <w:sz w:val="24"/>
          <w:szCs w:val="24"/>
          <w:lang w:val="en-US" w:eastAsia="en-GB"/>
        </w:rPr>
        <w:t xml:space="preserve"> in the entire student body</w:t>
      </w:r>
      <w:r w:rsidR="00C70D0F" w:rsidRPr="007D4016">
        <w:rPr>
          <w:rFonts w:ascii="Times New Roman" w:hAnsi="Times New Roman"/>
          <w:sz w:val="24"/>
          <w:szCs w:val="24"/>
          <w:lang w:val="en-US" w:eastAsia="en-GB"/>
        </w:rPr>
        <w:t xml:space="preserve"> in public institutions</w:t>
      </w:r>
      <w:r w:rsidR="00545F60" w:rsidRPr="007D4016">
        <w:rPr>
          <w:rFonts w:ascii="Times New Roman" w:hAnsi="Times New Roman"/>
          <w:sz w:val="24"/>
          <w:szCs w:val="24"/>
          <w:lang w:val="en-US" w:eastAsia="en-GB"/>
        </w:rPr>
        <w:t xml:space="preserve"> </w:t>
      </w:r>
      <w:r w:rsidRPr="007D4016">
        <w:rPr>
          <w:rFonts w:ascii="Times New Roman" w:hAnsi="Times New Roman"/>
          <w:sz w:val="24"/>
          <w:szCs w:val="24"/>
          <w:lang w:val="en-US" w:eastAsia="en-GB"/>
        </w:rPr>
        <w:t>and</w:t>
      </w:r>
      <w:r w:rsidR="00545F60" w:rsidRPr="007D4016">
        <w:rPr>
          <w:rFonts w:ascii="Times New Roman" w:hAnsi="Times New Roman"/>
          <w:sz w:val="24"/>
          <w:szCs w:val="24"/>
          <w:lang w:val="en-US" w:eastAsia="en-GB"/>
        </w:rPr>
        <w:t xml:space="preserve"> </w:t>
      </w:r>
      <w:r w:rsidR="00C70D0F" w:rsidRPr="007D4016">
        <w:rPr>
          <w:rFonts w:ascii="Times New Roman" w:hAnsi="Times New Roman"/>
          <w:sz w:val="24"/>
          <w:szCs w:val="24"/>
          <w:lang w:val="en-US" w:eastAsia="en-GB"/>
        </w:rPr>
        <w:t>how tuition fees in public institutions compare to tuiti</w:t>
      </w:r>
      <w:r w:rsidRPr="007D4016">
        <w:rPr>
          <w:rFonts w:ascii="Times New Roman" w:hAnsi="Times New Roman"/>
          <w:sz w:val="24"/>
          <w:szCs w:val="24"/>
          <w:lang w:val="en-US" w:eastAsia="en-GB"/>
        </w:rPr>
        <w:t>on fees in private institutions</w:t>
      </w:r>
      <w:r w:rsidR="00545F60" w:rsidRPr="007D4016">
        <w:rPr>
          <w:rFonts w:ascii="Times New Roman" w:hAnsi="Times New Roman"/>
          <w:sz w:val="24"/>
          <w:szCs w:val="24"/>
          <w:lang w:val="en-US" w:eastAsia="en-GB"/>
        </w:rPr>
        <w:t>.</w:t>
      </w:r>
      <w:r w:rsidRPr="007D4016">
        <w:rPr>
          <w:rFonts w:ascii="Times New Roman" w:hAnsi="Times New Roman"/>
          <w:sz w:val="24"/>
          <w:szCs w:val="24"/>
          <w:lang w:val="en-US" w:eastAsia="en-GB"/>
        </w:rPr>
        <w:t xml:space="preserve"> </w:t>
      </w:r>
      <w:r w:rsidR="00C70D0F" w:rsidRPr="007D4016">
        <w:rPr>
          <w:rFonts w:ascii="Times New Roman" w:hAnsi="Times New Roman"/>
          <w:sz w:val="24"/>
          <w:szCs w:val="24"/>
          <w:lang w:val="en-US" w:eastAsia="en-GB"/>
        </w:rPr>
        <w:t>Another question concerns whether</w:t>
      </w:r>
      <w:r w:rsidR="0087025C">
        <w:rPr>
          <w:rFonts w:ascii="Times New Roman" w:hAnsi="Times New Roman"/>
          <w:sz w:val="24"/>
          <w:szCs w:val="24"/>
          <w:lang w:val="en-US" w:eastAsia="en-GB"/>
        </w:rPr>
        <w:t xml:space="preserve"> the existing </w:t>
      </w:r>
      <w:r w:rsidR="00C70D0F" w:rsidRPr="007D4016">
        <w:rPr>
          <w:rFonts w:ascii="Times New Roman" w:hAnsi="Times New Roman"/>
          <w:sz w:val="24"/>
          <w:szCs w:val="24"/>
          <w:lang w:val="en-US" w:eastAsia="en-GB"/>
        </w:rPr>
        <w:t xml:space="preserve">policies and practices </w:t>
      </w:r>
      <w:r w:rsidR="007D4016" w:rsidRPr="007D4016">
        <w:rPr>
          <w:rFonts w:ascii="Times New Roman" w:hAnsi="Times New Roman"/>
          <w:sz w:val="24"/>
          <w:szCs w:val="24"/>
          <w:lang w:val="en-US" w:eastAsia="en-GB"/>
        </w:rPr>
        <w:t>incentivize</w:t>
      </w:r>
      <w:r w:rsidR="00C70D0F" w:rsidRPr="007D4016">
        <w:rPr>
          <w:rFonts w:ascii="Times New Roman" w:hAnsi="Times New Roman"/>
          <w:sz w:val="24"/>
          <w:szCs w:val="24"/>
          <w:lang w:val="en-US" w:eastAsia="en-GB"/>
        </w:rPr>
        <w:t xml:space="preserve"> public institutions to diversify revenue sources through other activities, such </w:t>
      </w:r>
      <w:r w:rsidR="00753849" w:rsidRPr="007D4016">
        <w:rPr>
          <w:rFonts w:ascii="Times New Roman" w:hAnsi="Times New Roman"/>
          <w:sz w:val="24"/>
          <w:szCs w:val="24"/>
          <w:lang w:val="en-US" w:eastAsia="en-GB"/>
        </w:rPr>
        <w:t xml:space="preserve">as </w:t>
      </w:r>
      <w:r w:rsidR="00C70D0F" w:rsidRPr="007D4016">
        <w:rPr>
          <w:rFonts w:ascii="Times New Roman" w:hAnsi="Times New Roman"/>
          <w:sz w:val="24"/>
          <w:szCs w:val="24"/>
          <w:lang w:val="en-US" w:eastAsia="en-GB"/>
        </w:rPr>
        <w:t xml:space="preserve">joint research with industry, intellectual property management, and university spin-offs. </w:t>
      </w:r>
      <w:r w:rsidR="00904C46" w:rsidRPr="007D4016">
        <w:rPr>
          <w:rFonts w:ascii="Times New Roman" w:hAnsi="Times New Roman"/>
          <w:sz w:val="24"/>
          <w:szCs w:val="24"/>
          <w:lang w:val="en-US" w:eastAsia="en-GB"/>
        </w:rPr>
        <w:t xml:space="preserve">To put it differently, greater private funding of public institutions, through </w:t>
      </w:r>
      <w:r w:rsidR="00753849" w:rsidRPr="007D4016">
        <w:rPr>
          <w:rFonts w:ascii="Times New Roman" w:hAnsi="Times New Roman"/>
          <w:sz w:val="24"/>
          <w:szCs w:val="24"/>
          <w:lang w:val="en-US" w:eastAsia="en-GB"/>
        </w:rPr>
        <w:t xml:space="preserve">a combination of </w:t>
      </w:r>
      <w:r w:rsidR="00904C46" w:rsidRPr="007D4016">
        <w:rPr>
          <w:rFonts w:ascii="Times New Roman" w:hAnsi="Times New Roman"/>
          <w:sz w:val="24"/>
          <w:szCs w:val="24"/>
          <w:lang w:val="en-US" w:eastAsia="en-GB"/>
        </w:rPr>
        <w:t xml:space="preserve">tuition fees </w:t>
      </w:r>
      <w:r w:rsidR="00753849" w:rsidRPr="007D4016">
        <w:rPr>
          <w:rFonts w:ascii="Times New Roman" w:hAnsi="Times New Roman"/>
          <w:sz w:val="24"/>
          <w:szCs w:val="24"/>
          <w:lang w:val="en-US" w:eastAsia="en-GB"/>
        </w:rPr>
        <w:t>and</w:t>
      </w:r>
      <w:r w:rsidR="00904C46" w:rsidRPr="007D4016">
        <w:rPr>
          <w:rFonts w:ascii="Times New Roman" w:hAnsi="Times New Roman"/>
          <w:sz w:val="24"/>
          <w:szCs w:val="24"/>
          <w:lang w:val="en-US" w:eastAsia="en-GB"/>
        </w:rPr>
        <w:t xml:space="preserve"> sale of services and products, is an important aspect of </w:t>
      </w:r>
      <w:r w:rsidR="007D4016" w:rsidRPr="007D4016">
        <w:rPr>
          <w:rFonts w:ascii="Times New Roman" w:hAnsi="Times New Roman"/>
          <w:sz w:val="24"/>
          <w:szCs w:val="24"/>
          <w:lang w:val="en-US" w:eastAsia="en-GB"/>
        </w:rPr>
        <w:t>privatization</w:t>
      </w:r>
      <w:r w:rsidR="00904C46" w:rsidRPr="007D4016">
        <w:rPr>
          <w:rFonts w:ascii="Times New Roman" w:hAnsi="Times New Roman"/>
          <w:sz w:val="24"/>
          <w:szCs w:val="24"/>
          <w:lang w:val="en-US" w:eastAsia="en-GB"/>
        </w:rPr>
        <w:t xml:space="preserve"> of public sector institutions (Marginson, 1997).</w:t>
      </w:r>
      <w:r w:rsidR="00886A65" w:rsidRPr="007D4016">
        <w:rPr>
          <w:rFonts w:ascii="Times New Roman" w:hAnsi="Times New Roman"/>
          <w:sz w:val="24"/>
          <w:szCs w:val="24"/>
          <w:lang w:val="en-US" w:eastAsia="en-GB"/>
        </w:rPr>
        <w:t xml:space="preserve"> </w:t>
      </w:r>
      <w:r w:rsidR="00C70D0F" w:rsidRPr="007D4016">
        <w:rPr>
          <w:rFonts w:ascii="Times New Roman" w:hAnsi="Times New Roman"/>
          <w:sz w:val="24"/>
          <w:szCs w:val="24"/>
          <w:lang w:val="en-US" w:eastAsia="en-GB"/>
        </w:rPr>
        <w:t>When prompted to seek private sources of revenue, public institutions are, in principle, becoming more s</w:t>
      </w:r>
      <w:r w:rsidRPr="007D4016">
        <w:rPr>
          <w:rFonts w:ascii="Times New Roman" w:hAnsi="Times New Roman"/>
          <w:sz w:val="24"/>
          <w:szCs w:val="24"/>
          <w:lang w:val="en-US" w:eastAsia="en-GB"/>
        </w:rPr>
        <w:t>imilar to the private ones as they compete with private ones for resources.</w:t>
      </w:r>
    </w:p>
    <w:p w14:paraId="5FB117E4" w14:textId="77777777" w:rsidR="00691469" w:rsidRPr="00F60F75" w:rsidRDefault="004F53F6" w:rsidP="00691469">
      <w:pPr>
        <w:keepNext/>
        <w:keepLines/>
        <w:spacing w:before="200" w:after="0"/>
        <w:outlineLvl w:val="1"/>
        <w:rPr>
          <w:rFonts w:ascii="Times New Roman" w:eastAsiaTheme="majorEastAsia" w:hAnsi="Times New Roman"/>
          <w:b/>
          <w:bCs/>
          <w:sz w:val="24"/>
          <w:szCs w:val="24"/>
          <w:lang w:val="en-US" w:eastAsia="en-GB"/>
        </w:rPr>
      </w:pPr>
      <w:r w:rsidRPr="00F60F75">
        <w:rPr>
          <w:rFonts w:ascii="Times New Roman" w:eastAsiaTheme="majorEastAsia" w:hAnsi="Times New Roman"/>
          <w:b/>
          <w:bCs/>
          <w:sz w:val="24"/>
          <w:szCs w:val="24"/>
          <w:lang w:val="en-US" w:eastAsia="en-GB"/>
        </w:rPr>
        <w:t>Research methods</w:t>
      </w:r>
    </w:p>
    <w:p w14:paraId="27EE5F12" w14:textId="7688874B" w:rsidR="00691469" w:rsidRPr="007D4016" w:rsidRDefault="00691469" w:rsidP="00691469">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Data for this project </w:t>
      </w:r>
      <w:r w:rsidR="006C03AC">
        <w:rPr>
          <w:rFonts w:ascii="Times New Roman" w:hAnsi="Times New Roman"/>
          <w:sz w:val="24"/>
          <w:szCs w:val="24"/>
          <w:lang w:val="en-US" w:eastAsia="en-GB"/>
        </w:rPr>
        <w:t xml:space="preserve">was </w:t>
      </w:r>
      <w:r w:rsidRPr="007D4016">
        <w:rPr>
          <w:rFonts w:ascii="Times New Roman" w:hAnsi="Times New Roman"/>
          <w:sz w:val="24"/>
          <w:szCs w:val="24"/>
          <w:lang w:val="en-US" w:eastAsia="en-GB"/>
        </w:rPr>
        <w:t>collected in the framework of the research project entitled “Differentiation, equity, productivity: The social and economic consequences of expanded and differentiated higher education systems – internationali</w:t>
      </w:r>
      <w:r w:rsidR="006C03AC">
        <w:rPr>
          <w:rFonts w:ascii="Times New Roman" w:hAnsi="Times New Roman"/>
          <w:sz w:val="24"/>
          <w:szCs w:val="24"/>
          <w:lang w:val="en-US" w:eastAsia="en-GB"/>
        </w:rPr>
        <w:t>z</w:t>
      </w:r>
      <w:r w:rsidRPr="007D4016">
        <w:rPr>
          <w:rFonts w:ascii="Times New Roman" w:hAnsi="Times New Roman"/>
          <w:sz w:val="24"/>
          <w:szCs w:val="24"/>
          <w:lang w:val="en-US" w:eastAsia="en-GB"/>
        </w:rPr>
        <w:t xml:space="preserve">ation aspect (DEP)” endorsed by the European Science Foundation and funded by the Slovenian Research Agency. The overall aim of the project was to explore higher education reforms in the Western Balkans in the context of European higher education developments and policies. </w:t>
      </w:r>
      <w:r w:rsidR="00226F1E" w:rsidRPr="007D4016">
        <w:rPr>
          <w:rFonts w:ascii="Times New Roman" w:hAnsi="Times New Roman"/>
          <w:sz w:val="24"/>
          <w:szCs w:val="24"/>
          <w:lang w:val="en-US" w:eastAsia="en-GB"/>
        </w:rPr>
        <w:t>Specifically</w:t>
      </w:r>
      <w:r w:rsidR="006C03AC">
        <w:rPr>
          <w:rFonts w:ascii="Times New Roman" w:hAnsi="Times New Roman"/>
          <w:sz w:val="24"/>
          <w:szCs w:val="24"/>
          <w:lang w:val="en-US" w:eastAsia="en-GB"/>
        </w:rPr>
        <w:t>,</w:t>
      </w:r>
      <w:r w:rsidR="00226F1E" w:rsidRPr="007D4016">
        <w:rPr>
          <w:rFonts w:ascii="Times New Roman" w:hAnsi="Times New Roman"/>
          <w:sz w:val="24"/>
          <w:szCs w:val="24"/>
          <w:lang w:val="en-US" w:eastAsia="en-GB"/>
        </w:rPr>
        <w:t xml:space="preserve"> we explored the convergence of national policies with Europe</w:t>
      </w:r>
      <w:r w:rsidR="00F15F1E" w:rsidRPr="007D4016">
        <w:rPr>
          <w:rFonts w:ascii="Times New Roman" w:hAnsi="Times New Roman"/>
          <w:sz w:val="24"/>
          <w:szCs w:val="24"/>
          <w:lang w:val="en-US" w:eastAsia="en-GB"/>
        </w:rPr>
        <w:t>an recommendations</w:t>
      </w:r>
      <w:r w:rsidR="006C03AC">
        <w:rPr>
          <w:rFonts w:ascii="Times New Roman" w:hAnsi="Times New Roman"/>
          <w:sz w:val="24"/>
          <w:szCs w:val="24"/>
          <w:lang w:val="en-US" w:eastAsia="en-GB"/>
        </w:rPr>
        <w:t>,</w:t>
      </w:r>
      <w:r w:rsidR="00226F1E" w:rsidRPr="007D4016">
        <w:rPr>
          <w:rFonts w:ascii="Times New Roman" w:hAnsi="Times New Roman"/>
          <w:sz w:val="24"/>
          <w:szCs w:val="24"/>
          <w:lang w:val="en-US" w:eastAsia="en-GB"/>
        </w:rPr>
        <w:t xml:space="preserve"> </w:t>
      </w:r>
      <w:r w:rsidRPr="007D4016">
        <w:rPr>
          <w:rFonts w:ascii="Times New Roman" w:hAnsi="Times New Roman"/>
          <w:sz w:val="24"/>
          <w:szCs w:val="24"/>
          <w:lang w:val="en-US" w:eastAsia="en-GB"/>
        </w:rPr>
        <w:t xml:space="preserve">on </w:t>
      </w:r>
      <w:r w:rsidR="00753849" w:rsidRPr="007D4016">
        <w:rPr>
          <w:rFonts w:ascii="Times New Roman" w:hAnsi="Times New Roman"/>
          <w:sz w:val="24"/>
          <w:szCs w:val="24"/>
          <w:lang w:val="en-US" w:eastAsia="en-GB"/>
        </w:rPr>
        <w:t xml:space="preserve">the </w:t>
      </w:r>
      <w:r w:rsidRPr="007D4016">
        <w:rPr>
          <w:rFonts w:ascii="Times New Roman" w:hAnsi="Times New Roman"/>
          <w:sz w:val="24"/>
          <w:szCs w:val="24"/>
          <w:lang w:val="en-US" w:eastAsia="en-GB"/>
        </w:rPr>
        <w:t>one hand</w:t>
      </w:r>
      <w:r w:rsidR="006C03AC">
        <w:rPr>
          <w:rFonts w:ascii="Times New Roman" w:hAnsi="Times New Roman"/>
          <w:sz w:val="24"/>
          <w:szCs w:val="24"/>
          <w:lang w:val="en-US" w:eastAsia="en-GB"/>
        </w:rPr>
        <w:t>,</w:t>
      </w:r>
      <w:r w:rsidRPr="007D4016">
        <w:rPr>
          <w:rFonts w:ascii="Times New Roman" w:hAnsi="Times New Roman"/>
          <w:sz w:val="24"/>
          <w:szCs w:val="24"/>
          <w:lang w:val="en-US" w:eastAsia="en-GB"/>
        </w:rPr>
        <w:t xml:space="preserve"> and </w:t>
      </w:r>
      <w:r w:rsidR="00226F1E" w:rsidRPr="007D4016">
        <w:rPr>
          <w:rFonts w:ascii="Times New Roman" w:hAnsi="Times New Roman"/>
          <w:sz w:val="24"/>
          <w:szCs w:val="24"/>
          <w:lang w:val="en-US" w:eastAsia="en-GB"/>
        </w:rPr>
        <w:t xml:space="preserve">the persistence of regional </w:t>
      </w:r>
      <w:r w:rsidRPr="007D4016">
        <w:rPr>
          <w:rFonts w:ascii="Times New Roman" w:hAnsi="Times New Roman"/>
          <w:sz w:val="24"/>
          <w:szCs w:val="24"/>
          <w:lang w:val="en-US" w:eastAsia="en-GB"/>
        </w:rPr>
        <w:t>peculiarities and specific dynamics</w:t>
      </w:r>
      <w:r w:rsidR="006C03AC">
        <w:rPr>
          <w:rFonts w:ascii="Times New Roman" w:hAnsi="Times New Roman"/>
          <w:sz w:val="24"/>
          <w:szCs w:val="24"/>
          <w:lang w:val="en-US" w:eastAsia="en-GB"/>
        </w:rPr>
        <w:t>,</w:t>
      </w:r>
      <w:r w:rsidRPr="007D4016">
        <w:rPr>
          <w:rFonts w:ascii="Times New Roman" w:hAnsi="Times New Roman"/>
          <w:sz w:val="24"/>
          <w:szCs w:val="24"/>
          <w:lang w:val="en-US" w:eastAsia="en-GB"/>
        </w:rPr>
        <w:t xml:space="preserve"> on the other</w:t>
      </w:r>
      <w:r w:rsidR="00226F1E" w:rsidRPr="007D4016">
        <w:rPr>
          <w:rFonts w:ascii="Times New Roman" w:hAnsi="Times New Roman"/>
          <w:sz w:val="24"/>
          <w:szCs w:val="24"/>
          <w:lang w:val="en-US" w:eastAsia="en-GB"/>
        </w:rPr>
        <w:t xml:space="preserve">. </w:t>
      </w:r>
      <w:r w:rsidR="00F15F1E" w:rsidRPr="007D4016">
        <w:rPr>
          <w:rFonts w:ascii="Times New Roman" w:hAnsi="Times New Roman"/>
          <w:sz w:val="24"/>
          <w:szCs w:val="24"/>
          <w:lang w:val="en-US" w:eastAsia="en-GB"/>
        </w:rPr>
        <w:t>A summary of t</w:t>
      </w:r>
      <w:r w:rsidR="00226F1E" w:rsidRPr="007D4016">
        <w:rPr>
          <w:rFonts w:ascii="Times New Roman" w:hAnsi="Times New Roman"/>
          <w:sz w:val="24"/>
          <w:szCs w:val="24"/>
          <w:lang w:val="en-US" w:eastAsia="en-GB"/>
        </w:rPr>
        <w:t>he key findings from the field research w</w:t>
      </w:r>
      <w:r w:rsidR="00F15F1E" w:rsidRPr="007D4016">
        <w:rPr>
          <w:rFonts w:ascii="Times New Roman" w:hAnsi="Times New Roman"/>
          <w:sz w:val="24"/>
          <w:szCs w:val="24"/>
          <w:lang w:val="en-US" w:eastAsia="en-GB"/>
        </w:rPr>
        <w:t>as</w:t>
      </w:r>
      <w:r w:rsidR="00226F1E" w:rsidRPr="007D4016">
        <w:rPr>
          <w:rFonts w:ascii="Times New Roman" w:hAnsi="Times New Roman"/>
          <w:sz w:val="24"/>
          <w:szCs w:val="24"/>
          <w:lang w:val="en-US" w:eastAsia="en-GB"/>
        </w:rPr>
        <w:t xml:space="preserve"> published in “Higher Education in the Western Balkans: Reforms, developments, trends”</w:t>
      </w:r>
      <w:r w:rsidRPr="007D4016">
        <w:rPr>
          <w:rFonts w:ascii="Times New Roman" w:hAnsi="Times New Roman"/>
          <w:sz w:val="24"/>
          <w:szCs w:val="24"/>
          <w:lang w:val="en-US" w:eastAsia="en-GB"/>
        </w:rPr>
        <w:t xml:space="preserve"> (Zgaga et al., 2013). </w:t>
      </w:r>
    </w:p>
    <w:p w14:paraId="7EC1F5D3" w14:textId="3C26B97B" w:rsidR="00691469" w:rsidRPr="007D4016" w:rsidRDefault="00F15F1E" w:rsidP="00691469">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In this article we</w:t>
      </w:r>
      <w:r w:rsidR="00753849" w:rsidRPr="007D4016">
        <w:rPr>
          <w:rFonts w:ascii="Times New Roman" w:hAnsi="Times New Roman"/>
          <w:sz w:val="24"/>
          <w:szCs w:val="24"/>
          <w:lang w:val="en-US" w:eastAsia="en-GB"/>
        </w:rPr>
        <w:t xml:space="preserve"> </w:t>
      </w:r>
      <w:r w:rsidRPr="007D4016">
        <w:rPr>
          <w:rFonts w:ascii="Times New Roman" w:hAnsi="Times New Roman"/>
          <w:sz w:val="24"/>
          <w:szCs w:val="24"/>
          <w:lang w:val="en-US" w:eastAsia="en-GB"/>
        </w:rPr>
        <w:t>draw</w:t>
      </w:r>
      <w:r w:rsidR="00226F1E" w:rsidRPr="007D4016">
        <w:rPr>
          <w:rFonts w:ascii="Times New Roman" w:hAnsi="Times New Roman"/>
          <w:sz w:val="24"/>
          <w:szCs w:val="24"/>
          <w:lang w:val="en-US" w:eastAsia="en-GB"/>
        </w:rPr>
        <w:t xml:space="preserve"> from </w:t>
      </w:r>
      <w:r w:rsidRPr="007D4016">
        <w:rPr>
          <w:rFonts w:ascii="Times New Roman" w:hAnsi="Times New Roman"/>
          <w:sz w:val="24"/>
          <w:szCs w:val="24"/>
          <w:lang w:val="en-US" w:eastAsia="en-GB"/>
        </w:rPr>
        <w:t xml:space="preserve">three </w:t>
      </w:r>
      <w:r w:rsidR="00226F1E" w:rsidRPr="007D4016">
        <w:rPr>
          <w:rFonts w:ascii="Times New Roman" w:hAnsi="Times New Roman"/>
          <w:sz w:val="24"/>
          <w:szCs w:val="24"/>
          <w:lang w:val="en-US" w:eastAsia="en-GB"/>
        </w:rPr>
        <w:t xml:space="preserve">data sources. </w:t>
      </w:r>
      <w:r w:rsidR="006C03AC">
        <w:rPr>
          <w:rFonts w:ascii="Times New Roman" w:hAnsi="Times New Roman"/>
          <w:sz w:val="24"/>
          <w:szCs w:val="24"/>
          <w:lang w:val="en-US" w:eastAsia="en-GB"/>
        </w:rPr>
        <w:t>First, w</w:t>
      </w:r>
      <w:r w:rsidR="00226F1E" w:rsidRPr="007D4016">
        <w:rPr>
          <w:rFonts w:ascii="Times New Roman" w:hAnsi="Times New Roman"/>
          <w:sz w:val="24"/>
          <w:szCs w:val="24"/>
          <w:lang w:val="en-US" w:eastAsia="en-GB"/>
        </w:rPr>
        <w:t xml:space="preserve">e </w:t>
      </w:r>
      <w:r w:rsidR="007D4016" w:rsidRPr="007D4016">
        <w:rPr>
          <w:rFonts w:ascii="Times New Roman" w:hAnsi="Times New Roman"/>
          <w:sz w:val="24"/>
          <w:szCs w:val="24"/>
          <w:lang w:val="en-US" w:eastAsia="en-GB"/>
        </w:rPr>
        <w:t>analyzed</w:t>
      </w:r>
      <w:r w:rsidR="00226F1E" w:rsidRPr="007D4016">
        <w:rPr>
          <w:rFonts w:ascii="Times New Roman" w:hAnsi="Times New Roman"/>
          <w:sz w:val="24"/>
          <w:szCs w:val="24"/>
          <w:lang w:val="en-US" w:eastAsia="en-GB"/>
        </w:rPr>
        <w:t xml:space="preserve"> legislative</w:t>
      </w:r>
      <w:r w:rsidR="00691469" w:rsidRPr="007D4016">
        <w:rPr>
          <w:rFonts w:ascii="Times New Roman" w:hAnsi="Times New Roman"/>
          <w:sz w:val="24"/>
          <w:szCs w:val="24"/>
          <w:lang w:val="en-US" w:eastAsia="en-GB"/>
        </w:rPr>
        <w:t xml:space="preserve"> documents (</w:t>
      </w:r>
      <w:r w:rsidR="006C03AC">
        <w:rPr>
          <w:rFonts w:ascii="Times New Roman" w:hAnsi="Times New Roman"/>
          <w:sz w:val="24"/>
          <w:szCs w:val="24"/>
          <w:lang w:val="en-US" w:eastAsia="en-GB"/>
        </w:rPr>
        <w:t>h</w:t>
      </w:r>
      <w:r w:rsidR="00691469" w:rsidRPr="007D4016">
        <w:rPr>
          <w:rFonts w:ascii="Times New Roman" w:hAnsi="Times New Roman"/>
          <w:sz w:val="24"/>
          <w:szCs w:val="24"/>
          <w:lang w:val="en-US" w:eastAsia="en-GB"/>
        </w:rPr>
        <w:t xml:space="preserve">igher </w:t>
      </w:r>
      <w:r w:rsidR="006C03AC">
        <w:rPr>
          <w:rFonts w:ascii="Times New Roman" w:hAnsi="Times New Roman"/>
          <w:sz w:val="24"/>
          <w:szCs w:val="24"/>
          <w:lang w:val="en-US" w:eastAsia="en-GB"/>
        </w:rPr>
        <w:t>e</w:t>
      </w:r>
      <w:r w:rsidR="00691469" w:rsidRPr="007D4016">
        <w:rPr>
          <w:rFonts w:ascii="Times New Roman" w:hAnsi="Times New Roman"/>
          <w:sz w:val="24"/>
          <w:szCs w:val="24"/>
          <w:lang w:val="en-US" w:eastAsia="en-GB"/>
        </w:rPr>
        <w:t xml:space="preserve">ducation </w:t>
      </w:r>
      <w:r w:rsidR="006C03AC">
        <w:rPr>
          <w:rFonts w:ascii="Times New Roman" w:hAnsi="Times New Roman"/>
          <w:sz w:val="24"/>
          <w:szCs w:val="24"/>
          <w:lang w:val="en-US" w:eastAsia="en-GB"/>
        </w:rPr>
        <w:t>l</w:t>
      </w:r>
      <w:r w:rsidR="00691469" w:rsidRPr="007D4016">
        <w:rPr>
          <w:rFonts w:ascii="Times New Roman" w:hAnsi="Times New Roman"/>
          <w:sz w:val="24"/>
          <w:szCs w:val="24"/>
          <w:lang w:val="en-US" w:eastAsia="en-GB"/>
        </w:rPr>
        <w:t xml:space="preserve">aws and relevant bylaws) and government higher education strategy documents since </w:t>
      </w:r>
      <w:r w:rsidR="00753849" w:rsidRPr="007D4016">
        <w:rPr>
          <w:rFonts w:ascii="Times New Roman" w:hAnsi="Times New Roman"/>
          <w:sz w:val="24"/>
          <w:szCs w:val="24"/>
          <w:lang w:val="en-US" w:eastAsia="en-GB"/>
        </w:rPr>
        <w:t xml:space="preserve">the </w:t>
      </w:r>
      <w:r w:rsidR="00691469" w:rsidRPr="007D4016">
        <w:rPr>
          <w:rFonts w:ascii="Times New Roman" w:hAnsi="Times New Roman"/>
          <w:sz w:val="24"/>
          <w:szCs w:val="24"/>
          <w:lang w:val="en-US" w:eastAsia="en-GB"/>
        </w:rPr>
        <w:t>1990s</w:t>
      </w:r>
      <w:r w:rsidR="00563EB8" w:rsidRPr="007D4016">
        <w:rPr>
          <w:rFonts w:ascii="Times New Roman" w:hAnsi="Times New Roman"/>
          <w:sz w:val="24"/>
          <w:szCs w:val="24"/>
          <w:lang w:val="en-US" w:eastAsia="en-GB"/>
        </w:rPr>
        <w:t xml:space="preserve">. </w:t>
      </w:r>
      <w:r w:rsidR="00286EFF" w:rsidRPr="007D4016">
        <w:rPr>
          <w:rFonts w:ascii="Times New Roman" w:hAnsi="Times New Roman"/>
          <w:sz w:val="24"/>
          <w:szCs w:val="24"/>
          <w:lang w:val="en-US" w:eastAsia="en-GB"/>
        </w:rPr>
        <w:t xml:space="preserve">We also reviewed </w:t>
      </w:r>
      <w:r w:rsidR="00226F1E" w:rsidRPr="007D4016">
        <w:rPr>
          <w:rFonts w:ascii="Times New Roman" w:hAnsi="Times New Roman"/>
          <w:sz w:val="24"/>
          <w:szCs w:val="24"/>
          <w:lang w:val="en-US" w:eastAsia="en-GB"/>
        </w:rPr>
        <w:t xml:space="preserve">existing </w:t>
      </w:r>
      <w:r w:rsidR="00286EFF" w:rsidRPr="007D4016">
        <w:rPr>
          <w:rFonts w:ascii="Times New Roman" w:hAnsi="Times New Roman"/>
          <w:sz w:val="24"/>
          <w:szCs w:val="24"/>
          <w:lang w:val="en-US" w:eastAsia="en-GB"/>
        </w:rPr>
        <w:t>secondary literature</w:t>
      </w:r>
      <w:r w:rsidR="00753849" w:rsidRPr="007D4016">
        <w:rPr>
          <w:rFonts w:ascii="Times New Roman" w:hAnsi="Times New Roman"/>
          <w:sz w:val="24"/>
          <w:szCs w:val="24"/>
          <w:lang w:val="en-US" w:eastAsia="en-GB"/>
        </w:rPr>
        <w:t>,</w:t>
      </w:r>
      <w:r w:rsidR="00E30DB1" w:rsidRPr="007D4016">
        <w:rPr>
          <w:rFonts w:ascii="Times New Roman" w:hAnsi="Times New Roman"/>
          <w:sz w:val="24"/>
          <w:szCs w:val="24"/>
          <w:lang w:val="en-US" w:eastAsia="en-GB"/>
        </w:rPr>
        <w:t xml:space="preserve"> </w:t>
      </w:r>
      <w:r w:rsidR="00226F1E" w:rsidRPr="007D4016">
        <w:rPr>
          <w:rFonts w:ascii="Times New Roman" w:hAnsi="Times New Roman"/>
          <w:sz w:val="24"/>
          <w:szCs w:val="24"/>
          <w:lang w:val="en-US" w:eastAsia="en-GB"/>
        </w:rPr>
        <w:t>drawing</w:t>
      </w:r>
      <w:r w:rsidR="00E30DB1" w:rsidRPr="007D4016">
        <w:rPr>
          <w:rFonts w:ascii="Times New Roman" w:hAnsi="Times New Roman"/>
          <w:sz w:val="24"/>
          <w:szCs w:val="24"/>
          <w:lang w:val="en-US" w:eastAsia="en-GB"/>
        </w:rPr>
        <w:t xml:space="preserve"> mostly from the edited volume “The re-institutionalization of higher education in the Western Balkans” (Branković et al., 2014) stemming from the project The Knowledge Base for Higher Education and Research in the Western Balkans (HERDATA).</w:t>
      </w:r>
      <w:r w:rsidR="006C03AC">
        <w:rPr>
          <w:rFonts w:ascii="Times New Roman" w:hAnsi="Times New Roman"/>
          <w:sz w:val="24"/>
          <w:szCs w:val="24"/>
          <w:lang w:val="en-US" w:eastAsia="en-GB"/>
        </w:rPr>
        <w:t>[3]</w:t>
      </w:r>
      <w:r w:rsidR="00286EFF" w:rsidRPr="007D4016">
        <w:rPr>
          <w:rFonts w:ascii="Times New Roman" w:hAnsi="Times New Roman"/>
          <w:sz w:val="24"/>
          <w:szCs w:val="24"/>
          <w:lang w:val="en-US" w:eastAsia="en-GB"/>
        </w:rPr>
        <w:t xml:space="preserve"> </w:t>
      </w:r>
      <w:r w:rsidRPr="007D4016">
        <w:rPr>
          <w:rFonts w:ascii="Times New Roman" w:hAnsi="Times New Roman"/>
          <w:sz w:val="24"/>
          <w:szCs w:val="24"/>
          <w:lang w:val="en-US" w:eastAsia="en-GB"/>
        </w:rPr>
        <w:t>Second,</w:t>
      </w:r>
      <w:r w:rsidR="00691469" w:rsidRPr="007D4016">
        <w:rPr>
          <w:rFonts w:ascii="Times New Roman" w:hAnsi="Times New Roman"/>
          <w:sz w:val="24"/>
          <w:szCs w:val="24"/>
          <w:lang w:val="en-US" w:eastAsia="en-GB"/>
        </w:rPr>
        <w:t xml:space="preserve"> </w:t>
      </w:r>
      <w:r w:rsidR="00D014CD" w:rsidRPr="007D4016">
        <w:rPr>
          <w:rFonts w:ascii="Times New Roman" w:hAnsi="Times New Roman"/>
          <w:sz w:val="24"/>
          <w:szCs w:val="24"/>
          <w:lang w:val="en-US" w:eastAsia="en-GB"/>
        </w:rPr>
        <w:t xml:space="preserve">we conducted </w:t>
      </w:r>
      <w:r w:rsidR="00691469" w:rsidRPr="007D4016">
        <w:rPr>
          <w:rFonts w:ascii="Times New Roman" w:hAnsi="Times New Roman"/>
          <w:sz w:val="24"/>
          <w:szCs w:val="24"/>
          <w:lang w:val="en-US" w:eastAsia="en-GB"/>
        </w:rPr>
        <w:t>76 interviews</w:t>
      </w:r>
      <w:r w:rsidR="006C03AC">
        <w:rPr>
          <w:rFonts w:ascii="Times New Roman" w:hAnsi="Times New Roman"/>
          <w:sz w:val="24"/>
          <w:szCs w:val="24"/>
          <w:lang w:val="en-US" w:eastAsia="en-GB"/>
        </w:rPr>
        <w:t xml:space="preserve"> in 2012</w:t>
      </w:r>
      <w:r w:rsidR="00691469" w:rsidRPr="007D4016">
        <w:rPr>
          <w:rFonts w:ascii="Times New Roman" w:hAnsi="Times New Roman"/>
          <w:sz w:val="24"/>
          <w:szCs w:val="24"/>
          <w:lang w:val="en-US" w:eastAsia="en-GB"/>
        </w:rPr>
        <w:t xml:space="preserve"> with university leaders (from two main public universities and from a private university in Slovenia, Montenegro and Macedonia), government representatives, quality assurance agency officials</w:t>
      </w:r>
      <w:r w:rsidR="006C03AC">
        <w:rPr>
          <w:rFonts w:ascii="Times New Roman" w:hAnsi="Times New Roman"/>
          <w:sz w:val="24"/>
          <w:szCs w:val="24"/>
          <w:lang w:val="en-US" w:eastAsia="en-GB"/>
        </w:rPr>
        <w:t>,</w:t>
      </w:r>
      <w:r w:rsidR="00691469" w:rsidRPr="007D4016">
        <w:rPr>
          <w:rFonts w:ascii="Times New Roman" w:hAnsi="Times New Roman"/>
          <w:sz w:val="24"/>
          <w:szCs w:val="24"/>
          <w:lang w:val="en-US" w:eastAsia="en-GB"/>
        </w:rPr>
        <w:t xml:space="preserve"> and national experts from the </w:t>
      </w:r>
      <w:r w:rsidR="00D014CD" w:rsidRPr="007D4016">
        <w:rPr>
          <w:rFonts w:ascii="Times New Roman" w:hAnsi="Times New Roman"/>
          <w:sz w:val="24"/>
          <w:szCs w:val="24"/>
          <w:lang w:val="en-US" w:eastAsia="en-GB"/>
        </w:rPr>
        <w:t>eight countries</w:t>
      </w:r>
      <w:r w:rsidR="00691469" w:rsidRPr="007D4016">
        <w:rPr>
          <w:rFonts w:ascii="Times New Roman" w:hAnsi="Times New Roman"/>
          <w:sz w:val="24"/>
          <w:szCs w:val="24"/>
          <w:lang w:val="en-US" w:eastAsia="en-GB"/>
        </w:rPr>
        <w:t>; about nine interviews per each country. Our approach in interviews was highly inductive: we asked the interviewees about the key reforms in their respective higher education systems a</w:t>
      </w:r>
      <w:r w:rsidR="006C03AC">
        <w:rPr>
          <w:rFonts w:ascii="Times New Roman" w:hAnsi="Times New Roman"/>
          <w:sz w:val="24"/>
          <w:szCs w:val="24"/>
          <w:lang w:val="en-US" w:eastAsia="en-GB"/>
        </w:rPr>
        <w:t xml:space="preserve">nd </w:t>
      </w:r>
      <w:r w:rsidR="00691469" w:rsidRPr="007D4016">
        <w:rPr>
          <w:rFonts w:ascii="Times New Roman" w:hAnsi="Times New Roman"/>
          <w:sz w:val="24"/>
          <w:szCs w:val="24"/>
          <w:lang w:val="en-US" w:eastAsia="en-GB"/>
        </w:rPr>
        <w:t xml:space="preserve">the underlying rationales of the reforms. </w:t>
      </w:r>
      <w:r w:rsidR="008E2CDF" w:rsidRPr="007D4016">
        <w:rPr>
          <w:rFonts w:ascii="Times New Roman" w:hAnsi="Times New Roman"/>
          <w:sz w:val="24"/>
          <w:szCs w:val="24"/>
          <w:lang w:val="en-US" w:eastAsia="en-GB"/>
        </w:rPr>
        <w:t>In the content analysis of the transcripts, w</w:t>
      </w:r>
      <w:r w:rsidR="00691469" w:rsidRPr="007D4016">
        <w:rPr>
          <w:rFonts w:ascii="Times New Roman" w:hAnsi="Times New Roman"/>
          <w:sz w:val="24"/>
          <w:szCs w:val="24"/>
          <w:lang w:val="en-US" w:eastAsia="en-GB"/>
        </w:rPr>
        <w:t>e</w:t>
      </w:r>
      <w:r w:rsidR="008E2CDF" w:rsidRPr="007D4016">
        <w:rPr>
          <w:rFonts w:ascii="Times New Roman" w:hAnsi="Times New Roman"/>
          <w:sz w:val="24"/>
          <w:szCs w:val="24"/>
          <w:lang w:val="en-US" w:eastAsia="en-GB"/>
        </w:rPr>
        <w:t xml:space="preserve"> focused on </w:t>
      </w:r>
      <w:r w:rsidR="00691469" w:rsidRPr="007D4016">
        <w:rPr>
          <w:rFonts w:ascii="Times New Roman" w:hAnsi="Times New Roman"/>
          <w:sz w:val="24"/>
          <w:szCs w:val="24"/>
          <w:lang w:val="en-US" w:eastAsia="en-GB"/>
        </w:rPr>
        <w:t>identifying emerging themes, a</w:t>
      </w:r>
      <w:r w:rsidR="006C03AC">
        <w:rPr>
          <w:rFonts w:ascii="Times New Roman" w:hAnsi="Times New Roman"/>
          <w:sz w:val="24"/>
          <w:szCs w:val="24"/>
          <w:lang w:val="en-US" w:eastAsia="en-GB"/>
        </w:rPr>
        <w:t>s well as</w:t>
      </w:r>
      <w:r w:rsidR="00691469" w:rsidRPr="007D4016">
        <w:rPr>
          <w:rFonts w:ascii="Times New Roman" w:hAnsi="Times New Roman"/>
          <w:sz w:val="24"/>
          <w:szCs w:val="24"/>
          <w:lang w:val="en-US" w:eastAsia="en-GB"/>
        </w:rPr>
        <w:t xml:space="preserve"> similarities and differences between countries.</w:t>
      </w:r>
      <w:r w:rsidR="003C2216" w:rsidRPr="007D4016">
        <w:rPr>
          <w:rFonts w:ascii="Times New Roman" w:hAnsi="Times New Roman"/>
          <w:sz w:val="24"/>
          <w:szCs w:val="24"/>
          <w:lang w:val="en-US" w:eastAsia="en-GB"/>
        </w:rPr>
        <w:t xml:space="preserve"> T</w:t>
      </w:r>
      <w:r w:rsidR="00691469" w:rsidRPr="007D4016">
        <w:rPr>
          <w:rFonts w:ascii="Times New Roman" w:hAnsi="Times New Roman"/>
          <w:sz w:val="24"/>
          <w:szCs w:val="24"/>
          <w:lang w:val="en-US" w:eastAsia="en-GB"/>
        </w:rPr>
        <w:t>ensions in the public-private dynamics were identified as a major theme in all the countries</w:t>
      </w:r>
      <w:r w:rsidR="003C2216" w:rsidRPr="007D4016">
        <w:rPr>
          <w:rFonts w:ascii="Times New Roman" w:hAnsi="Times New Roman"/>
          <w:sz w:val="24"/>
          <w:szCs w:val="24"/>
          <w:lang w:val="en-US" w:eastAsia="en-GB"/>
        </w:rPr>
        <w:t>, even in Croatia which has the smallest share of enrolments in private sector</w:t>
      </w:r>
      <w:r w:rsidR="00691469" w:rsidRPr="007D4016">
        <w:rPr>
          <w:rFonts w:ascii="Times New Roman" w:hAnsi="Times New Roman"/>
          <w:sz w:val="24"/>
          <w:szCs w:val="24"/>
          <w:lang w:val="en-US" w:eastAsia="en-GB"/>
        </w:rPr>
        <w:t xml:space="preserve">. </w:t>
      </w:r>
      <w:r w:rsidRPr="007D4016">
        <w:rPr>
          <w:rFonts w:ascii="Times New Roman" w:hAnsi="Times New Roman"/>
          <w:sz w:val="24"/>
          <w:szCs w:val="24"/>
          <w:lang w:val="en-US" w:eastAsia="en-GB"/>
        </w:rPr>
        <w:t>Third</w:t>
      </w:r>
      <w:r w:rsidR="00691469" w:rsidRPr="007D4016">
        <w:rPr>
          <w:rFonts w:ascii="Times New Roman" w:hAnsi="Times New Roman"/>
          <w:sz w:val="24"/>
          <w:szCs w:val="24"/>
          <w:lang w:val="en-US" w:eastAsia="en-GB"/>
        </w:rPr>
        <w:t>, we conducted an opinion survey of academic staff</w:t>
      </w:r>
      <w:r w:rsidR="006C03AC">
        <w:rPr>
          <w:rFonts w:ascii="Times New Roman" w:hAnsi="Times New Roman"/>
          <w:sz w:val="24"/>
          <w:szCs w:val="24"/>
          <w:lang w:val="en-US" w:eastAsia="en-GB"/>
        </w:rPr>
        <w:t xml:space="preserve"> from public universities</w:t>
      </w:r>
      <w:r w:rsidR="00691469" w:rsidRPr="007D4016">
        <w:rPr>
          <w:rFonts w:ascii="Times New Roman" w:hAnsi="Times New Roman"/>
          <w:sz w:val="24"/>
          <w:szCs w:val="24"/>
          <w:lang w:val="en-US" w:eastAsia="en-GB"/>
        </w:rPr>
        <w:t xml:space="preserve"> (i.e.</w:t>
      </w:r>
      <w:r w:rsidR="006C03AC">
        <w:rPr>
          <w:rFonts w:ascii="Times New Roman" w:hAnsi="Times New Roman"/>
          <w:sz w:val="24"/>
          <w:szCs w:val="24"/>
          <w:lang w:val="en-US" w:eastAsia="en-GB"/>
        </w:rPr>
        <w:t>,</w:t>
      </w:r>
      <w:r w:rsidR="00691469" w:rsidRPr="007D4016">
        <w:rPr>
          <w:rFonts w:ascii="Times New Roman" w:hAnsi="Times New Roman"/>
          <w:sz w:val="24"/>
          <w:szCs w:val="24"/>
          <w:lang w:val="en-US" w:eastAsia="en-GB"/>
        </w:rPr>
        <w:t xml:space="preserve"> senior and junior professors, lecturers</w:t>
      </w:r>
      <w:r w:rsidR="006C03AC">
        <w:rPr>
          <w:rFonts w:ascii="Times New Roman" w:hAnsi="Times New Roman"/>
          <w:sz w:val="24"/>
          <w:szCs w:val="24"/>
          <w:lang w:val="en-US" w:eastAsia="en-GB"/>
        </w:rPr>
        <w:t>,</w:t>
      </w:r>
      <w:r w:rsidR="00691469" w:rsidRPr="007D4016">
        <w:rPr>
          <w:rFonts w:ascii="Times New Roman" w:hAnsi="Times New Roman"/>
          <w:sz w:val="24"/>
          <w:szCs w:val="24"/>
          <w:lang w:val="en-US" w:eastAsia="en-GB"/>
        </w:rPr>
        <w:t xml:space="preserve"> and assistants) via an electronic questionnaire. The total number of respondents was 2,019 with </w:t>
      </w:r>
      <w:r w:rsidR="00753849" w:rsidRPr="007D4016">
        <w:rPr>
          <w:rFonts w:ascii="Times New Roman" w:hAnsi="Times New Roman"/>
          <w:sz w:val="24"/>
          <w:szCs w:val="24"/>
          <w:lang w:val="en-US" w:eastAsia="en-GB"/>
        </w:rPr>
        <w:t xml:space="preserve">a response rate of </w:t>
      </w:r>
      <w:r w:rsidR="00691469" w:rsidRPr="007D4016">
        <w:rPr>
          <w:rFonts w:ascii="Times New Roman" w:hAnsi="Times New Roman"/>
          <w:sz w:val="24"/>
          <w:szCs w:val="24"/>
          <w:lang w:val="en-US" w:eastAsia="en-GB"/>
        </w:rPr>
        <w:t xml:space="preserve">over 5% of the entire academic staff </w:t>
      </w:r>
      <w:r w:rsidR="006C03AC">
        <w:rPr>
          <w:rFonts w:ascii="Times New Roman" w:hAnsi="Times New Roman"/>
          <w:sz w:val="24"/>
          <w:szCs w:val="24"/>
          <w:lang w:val="en-US" w:eastAsia="en-GB"/>
        </w:rPr>
        <w:t>in</w:t>
      </w:r>
      <w:r w:rsidR="006C03AC" w:rsidRPr="007D4016">
        <w:rPr>
          <w:rFonts w:ascii="Times New Roman" w:hAnsi="Times New Roman"/>
          <w:sz w:val="24"/>
          <w:szCs w:val="24"/>
          <w:lang w:val="en-US" w:eastAsia="en-GB"/>
        </w:rPr>
        <w:t xml:space="preserve"> </w:t>
      </w:r>
      <w:r w:rsidR="00691469" w:rsidRPr="007D4016">
        <w:rPr>
          <w:rFonts w:ascii="Times New Roman" w:hAnsi="Times New Roman"/>
          <w:sz w:val="24"/>
          <w:szCs w:val="24"/>
          <w:lang w:val="en-US" w:eastAsia="en-GB"/>
        </w:rPr>
        <w:t xml:space="preserve">the old universities and over 10% </w:t>
      </w:r>
      <w:r w:rsidR="006C03AC">
        <w:rPr>
          <w:rFonts w:ascii="Times New Roman" w:hAnsi="Times New Roman"/>
          <w:sz w:val="24"/>
          <w:szCs w:val="24"/>
          <w:lang w:val="en-US" w:eastAsia="en-GB"/>
        </w:rPr>
        <w:t>in</w:t>
      </w:r>
      <w:r w:rsidR="00691469" w:rsidRPr="007D4016">
        <w:rPr>
          <w:rFonts w:ascii="Times New Roman" w:hAnsi="Times New Roman"/>
          <w:sz w:val="24"/>
          <w:szCs w:val="24"/>
          <w:lang w:val="en-US" w:eastAsia="en-GB"/>
        </w:rPr>
        <w:t xml:space="preserve"> the newer universities (Zgaga et al</w:t>
      </w:r>
      <w:r w:rsidR="00545F60" w:rsidRPr="007D4016">
        <w:rPr>
          <w:rFonts w:ascii="Times New Roman" w:hAnsi="Times New Roman"/>
          <w:sz w:val="24"/>
          <w:szCs w:val="24"/>
          <w:lang w:val="en-US" w:eastAsia="en-GB"/>
        </w:rPr>
        <w:t>.</w:t>
      </w:r>
      <w:r w:rsidR="00691469" w:rsidRPr="007D4016">
        <w:rPr>
          <w:rFonts w:ascii="Times New Roman" w:hAnsi="Times New Roman"/>
          <w:sz w:val="24"/>
          <w:szCs w:val="24"/>
          <w:lang w:val="en-US" w:eastAsia="en-GB"/>
        </w:rPr>
        <w:t>, 2012).</w:t>
      </w:r>
      <w:r w:rsidR="008E2CDF" w:rsidRPr="007D4016">
        <w:rPr>
          <w:rFonts w:ascii="Times New Roman" w:hAnsi="Times New Roman"/>
          <w:sz w:val="24"/>
          <w:szCs w:val="24"/>
          <w:lang w:val="en-US" w:eastAsia="en-GB"/>
        </w:rPr>
        <w:t xml:space="preserve"> </w:t>
      </w:r>
    </w:p>
    <w:p w14:paraId="72009A02" w14:textId="77777777" w:rsidR="00691469" w:rsidRPr="007D4016" w:rsidRDefault="00691469" w:rsidP="00CB3075">
      <w:pPr>
        <w:spacing w:after="0"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ab/>
      </w:r>
    </w:p>
    <w:p w14:paraId="1C213065" w14:textId="77777777" w:rsidR="004E6817" w:rsidRPr="007D4016" w:rsidRDefault="004E6817" w:rsidP="00691469">
      <w:pPr>
        <w:pStyle w:val="Heading1"/>
        <w:spacing w:before="0" w:after="100" w:afterAutospacing="1" w:line="240" w:lineRule="auto"/>
        <w:jc w:val="both"/>
        <w:rPr>
          <w:rFonts w:ascii="Times New Roman" w:hAnsi="Times New Roman"/>
          <w:color w:val="auto"/>
          <w:sz w:val="24"/>
          <w:szCs w:val="24"/>
          <w:lang w:val="en-US"/>
        </w:rPr>
      </w:pPr>
      <w:r w:rsidRPr="007D4016">
        <w:rPr>
          <w:rFonts w:ascii="Times New Roman" w:hAnsi="Times New Roman"/>
          <w:color w:val="auto"/>
          <w:sz w:val="24"/>
          <w:szCs w:val="24"/>
          <w:lang w:val="en-US" w:eastAsia="en-GB"/>
        </w:rPr>
        <w:t>Emergence of private higher education</w:t>
      </w:r>
      <w:r w:rsidR="00E90983" w:rsidRPr="007D4016">
        <w:rPr>
          <w:rFonts w:ascii="Times New Roman" w:hAnsi="Times New Roman"/>
          <w:color w:val="auto"/>
          <w:sz w:val="24"/>
          <w:szCs w:val="24"/>
          <w:lang w:val="en-US" w:eastAsia="en-GB"/>
        </w:rPr>
        <w:t xml:space="preserve"> and access of private institutions to public resources</w:t>
      </w:r>
    </w:p>
    <w:p w14:paraId="404A5B4C" w14:textId="5FFA06F0" w:rsidR="00676A5E" w:rsidRPr="007D4016" w:rsidRDefault="00DF1BE5" w:rsidP="00676A5E">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rPr>
        <w:t xml:space="preserve">The </w:t>
      </w:r>
      <w:r w:rsidR="00676A5E" w:rsidRPr="007D4016">
        <w:rPr>
          <w:rFonts w:ascii="Times New Roman" w:hAnsi="Times New Roman"/>
          <w:sz w:val="24"/>
          <w:szCs w:val="24"/>
          <w:lang w:val="en-US"/>
        </w:rPr>
        <w:t xml:space="preserve">regional </w:t>
      </w:r>
      <w:r w:rsidRPr="007D4016">
        <w:rPr>
          <w:rFonts w:ascii="Times New Roman" w:hAnsi="Times New Roman"/>
          <w:sz w:val="24"/>
          <w:szCs w:val="24"/>
          <w:lang w:val="en-US"/>
        </w:rPr>
        <w:t>la</w:t>
      </w:r>
      <w:r w:rsidR="00676A5E" w:rsidRPr="007D4016">
        <w:rPr>
          <w:rFonts w:ascii="Times New Roman" w:hAnsi="Times New Roman"/>
          <w:sz w:val="24"/>
          <w:szCs w:val="24"/>
          <w:lang w:val="en-US"/>
        </w:rPr>
        <w:t xml:space="preserve">ws typically stipulate that </w:t>
      </w:r>
      <w:r w:rsidRPr="007D4016">
        <w:rPr>
          <w:rFonts w:ascii="Times New Roman" w:hAnsi="Times New Roman"/>
          <w:sz w:val="24"/>
          <w:szCs w:val="24"/>
          <w:lang w:val="en-US"/>
        </w:rPr>
        <w:t xml:space="preserve">higher education institutions can be established as public or private, and specify that the founders </w:t>
      </w:r>
      <w:r w:rsidR="003957BC" w:rsidRPr="007D4016">
        <w:rPr>
          <w:rFonts w:ascii="Times New Roman" w:hAnsi="Times New Roman"/>
          <w:sz w:val="24"/>
          <w:szCs w:val="24"/>
          <w:lang w:val="en-US"/>
        </w:rPr>
        <w:t xml:space="preserve">of private institutions </w:t>
      </w:r>
      <w:r w:rsidRPr="007D4016">
        <w:rPr>
          <w:rFonts w:ascii="Times New Roman" w:hAnsi="Times New Roman"/>
          <w:sz w:val="24"/>
          <w:szCs w:val="24"/>
          <w:lang w:val="en-US"/>
        </w:rPr>
        <w:t xml:space="preserve">can be domestic or national individuals or corporate entities. Croatian </w:t>
      </w:r>
      <w:r w:rsidR="00545F60" w:rsidRPr="007D4016">
        <w:rPr>
          <w:rFonts w:ascii="Times New Roman" w:hAnsi="Times New Roman"/>
          <w:sz w:val="24"/>
          <w:szCs w:val="24"/>
          <w:lang w:val="en-US"/>
        </w:rPr>
        <w:t>legislation</w:t>
      </w:r>
      <w:r w:rsidRPr="007D4016">
        <w:rPr>
          <w:rFonts w:ascii="Times New Roman" w:hAnsi="Times New Roman"/>
          <w:sz w:val="24"/>
          <w:szCs w:val="24"/>
          <w:lang w:val="en-US"/>
        </w:rPr>
        <w:t xml:space="preserve"> (</w:t>
      </w:r>
      <w:r w:rsidR="00545F60" w:rsidRPr="007D4016">
        <w:rPr>
          <w:rFonts w:ascii="Times New Roman" w:hAnsi="Times New Roman"/>
          <w:sz w:val="24"/>
          <w:szCs w:val="24"/>
          <w:lang w:val="en-US"/>
        </w:rPr>
        <w:t xml:space="preserve">Croatia, </w:t>
      </w:r>
      <w:r w:rsidRPr="007D4016">
        <w:rPr>
          <w:rFonts w:ascii="Times New Roman" w:hAnsi="Times New Roman"/>
          <w:sz w:val="24"/>
          <w:szCs w:val="24"/>
          <w:lang w:val="en-US"/>
        </w:rPr>
        <w:t>2003, Article 49)</w:t>
      </w:r>
      <w:r w:rsidR="00545F60" w:rsidRPr="007D4016">
        <w:rPr>
          <w:rFonts w:ascii="Times New Roman" w:hAnsi="Times New Roman"/>
          <w:sz w:val="24"/>
          <w:szCs w:val="24"/>
          <w:lang w:val="en-US"/>
        </w:rPr>
        <w:t xml:space="preserve"> i</w:t>
      </w:r>
      <w:r w:rsidR="00676A5E" w:rsidRPr="007D4016">
        <w:rPr>
          <w:rFonts w:ascii="Times New Roman" w:hAnsi="Times New Roman"/>
          <w:sz w:val="24"/>
          <w:szCs w:val="24"/>
          <w:lang w:val="en-US"/>
        </w:rPr>
        <w:t>s</w:t>
      </w:r>
      <w:r w:rsidRPr="007D4016">
        <w:rPr>
          <w:rFonts w:ascii="Times New Roman" w:hAnsi="Times New Roman"/>
          <w:sz w:val="24"/>
          <w:szCs w:val="24"/>
          <w:lang w:val="en-US"/>
        </w:rPr>
        <w:t xml:space="preserve"> most specific in stipulating that </w:t>
      </w:r>
      <w:r w:rsidR="00922246" w:rsidRPr="007D4016">
        <w:rPr>
          <w:rFonts w:ascii="Times New Roman" w:hAnsi="Times New Roman"/>
          <w:sz w:val="24"/>
          <w:szCs w:val="24"/>
          <w:lang w:val="en-US"/>
        </w:rPr>
        <w:t>also counties, towns</w:t>
      </w:r>
      <w:r w:rsidR="002B42D4">
        <w:rPr>
          <w:rFonts w:ascii="Times New Roman" w:hAnsi="Times New Roman"/>
          <w:sz w:val="24"/>
          <w:szCs w:val="24"/>
          <w:lang w:val="en-US"/>
        </w:rPr>
        <w:t>,</w:t>
      </w:r>
      <w:r w:rsidR="00922246" w:rsidRPr="007D4016">
        <w:rPr>
          <w:rFonts w:ascii="Times New Roman" w:hAnsi="Times New Roman"/>
          <w:sz w:val="24"/>
          <w:szCs w:val="24"/>
          <w:lang w:val="en-US"/>
        </w:rPr>
        <w:t xml:space="preserve"> and municipalities can establish </w:t>
      </w:r>
      <w:r w:rsidR="003957BC" w:rsidRPr="007D4016">
        <w:rPr>
          <w:rFonts w:ascii="Times New Roman" w:hAnsi="Times New Roman"/>
          <w:sz w:val="24"/>
          <w:szCs w:val="24"/>
          <w:lang w:val="en-US"/>
        </w:rPr>
        <w:t xml:space="preserve">private </w:t>
      </w:r>
      <w:r w:rsidR="00922246" w:rsidRPr="007D4016">
        <w:rPr>
          <w:rFonts w:ascii="Times New Roman" w:hAnsi="Times New Roman"/>
          <w:sz w:val="24"/>
          <w:szCs w:val="24"/>
          <w:lang w:val="en-US"/>
        </w:rPr>
        <w:t>college</w:t>
      </w:r>
      <w:r w:rsidR="00C50AD0" w:rsidRPr="007D4016">
        <w:rPr>
          <w:rFonts w:ascii="Times New Roman" w:hAnsi="Times New Roman"/>
          <w:sz w:val="24"/>
          <w:szCs w:val="24"/>
          <w:lang w:val="en-US"/>
        </w:rPr>
        <w:t>s</w:t>
      </w:r>
      <w:r w:rsidR="00922246" w:rsidRPr="007D4016">
        <w:rPr>
          <w:rFonts w:ascii="Times New Roman" w:hAnsi="Times New Roman"/>
          <w:sz w:val="24"/>
          <w:szCs w:val="24"/>
          <w:lang w:val="en-US"/>
        </w:rPr>
        <w:t xml:space="preserve"> by the decision of their representative bod</w:t>
      </w:r>
      <w:r w:rsidR="002B42D4">
        <w:rPr>
          <w:rFonts w:ascii="Times New Roman" w:hAnsi="Times New Roman"/>
          <w:sz w:val="24"/>
          <w:szCs w:val="24"/>
          <w:lang w:val="en-US"/>
        </w:rPr>
        <w:t>ies</w:t>
      </w:r>
      <w:r w:rsidR="00922246" w:rsidRPr="007D4016">
        <w:rPr>
          <w:rFonts w:ascii="Times New Roman" w:hAnsi="Times New Roman"/>
          <w:sz w:val="24"/>
          <w:szCs w:val="24"/>
          <w:lang w:val="en-US"/>
        </w:rPr>
        <w:t xml:space="preserve">. </w:t>
      </w:r>
      <w:r w:rsidR="003957BC" w:rsidRPr="007D4016">
        <w:rPr>
          <w:rFonts w:ascii="Times New Roman" w:hAnsi="Times New Roman"/>
          <w:sz w:val="24"/>
          <w:szCs w:val="24"/>
          <w:lang w:val="en-US"/>
        </w:rPr>
        <w:t>T</w:t>
      </w:r>
      <w:r w:rsidR="00922246" w:rsidRPr="007D4016">
        <w:rPr>
          <w:rFonts w:ascii="Times New Roman" w:hAnsi="Times New Roman"/>
          <w:sz w:val="24"/>
          <w:szCs w:val="24"/>
          <w:lang w:val="en-US"/>
        </w:rPr>
        <w:t xml:space="preserve">he same Law also </w:t>
      </w:r>
      <w:r w:rsidR="00B920E7" w:rsidRPr="007D4016">
        <w:rPr>
          <w:rFonts w:ascii="Times New Roman" w:hAnsi="Times New Roman"/>
          <w:sz w:val="24"/>
          <w:szCs w:val="24"/>
          <w:lang w:val="en-US"/>
        </w:rPr>
        <w:t>makes it possible for</w:t>
      </w:r>
      <w:r w:rsidR="00922246" w:rsidRPr="007D4016">
        <w:rPr>
          <w:rFonts w:ascii="Times New Roman" w:hAnsi="Times New Roman"/>
          <w:sz w:val="24"/>
          <w:szCs w:val="24"/>
          <w:lang w:val="en-US"/>
        </w:rPr>
        <w:t xml:space="preserve"> religious communities to establish </w:t>
      </w:r>
      <w:r w:rsidR="00B920E7" w:rsidRPr="007D4016">
        <w:rPr>
          <w:rFonts w:ascii="Times New Roman" w:hAnsi="Times New Roman"/>
          <w:sz w:val="24"/>
          <w:szCs w:val="24"/>
          <w:lang w:val="en-US"/>
        </w:rPr>
        <w:t>private</w:t>
      </w:r>
      <w:r w:rsidR="00922246" w:rsidRPr="007D4016">
        <w:rPr>
          <w:rFonts w:ascii="Times New Roman" w:hAnsi="Times New Roman"/>
          <w:sz w:val="24"/>
          <w:szCs w:val="24"/>
          <w:lang w:val="en-US"/>
        </w:rPr>
        <w:t xml:space="preserve"> institutions and organize studies</w:t>
      </w:r>
      <w:r w:rsidR="002B42D4">
        <w:rPr>
          <w:rFonts w:ascii="Times New Roman" w:hAnsi="Times New Roman"/>
          <w:sz w:val="24"/>
          <w:szCs w:val="24"/>
          <w:lang w:val="en-US"/>
        </w:rPr>
        <w:t>,</w:t>
      </w:r>
      <w:r w:rsidR="00922246" w:rsidRPr="007D4016">
        <w:rPr>
          <w:rFonts w:ascii="Times New Roman" w:hAnsi="Times New Roman"/>
          <w:sz w:val="24"/>
          <w:szCs w:val="24"/>
          <w:lang w:val="en-US"/>
        </w:rPr>
        <w:t xml:space="preserve"> which are not theological (Croatia, 2003, Article 52).</w:t>
      </w:r>
      <w:r w:rsidR="00B920E7" w:rsidRPr="007D4016">
        <w:rPr>
          <w:rFonts w:ascii="Times New Roman" w:hAnsi="Times New Roman"/>
          <w:sz w:val="24"/>
          <w:szCs w:val="24"/>
          <w:lang w:val="en-US"/>
        </w:rPr>
        <w:t xml:space="preserve"> </w:t>
      </w:r>
      <w:r w:rsidR="002B42D4">
        <w:rPr>
          <w:rFonts w:ascii="Times New Roman" w:hAnsi="Times New Roman"/>
          <w:sz w:val="24"/>
          <w:szCs w:val="24"/>
          <w:lang w:val="en-US"/>
        </w:rPr>
        <w:t>Across the region, i</w:t>
      </w:r>
      <w:r w:rsidR="00F8571E" w:rsidRPr="007D4016">
        <w:rPr>
          <w:rFonts w:ascii="Times New Roman" w:hAnsi="Times New Roman"/>
          <w:sz w:val="24"/>
          <w:szCs w:val="24"/>
          <w:lang w:val="en-US"/>
        </w:rPr>
        <w:t>t is</w:t>
      </w:r>
      <w:r w:rsidR="00922246" w:rsidRPr="007D4016">
        <w:rPr>
          <w:rFonts w:ascii="Times New Roman" w:hAnsi="Times New Roman"/>
          <w:sz w:val="24"/>
          <w:szCs w:val="24"/>
          <w:lang w:val="en-US"/>
        </w:rPr>
        <w:t xml:space="preserve"> common </w:t>
      </w:r>
      <w:r w:rsidR="002B42D4">
        <w:rPr>
          <w:rFonts w:ascii="Times New Roman" w:hAnsi="Times New Roman"/>
          <w:sz w:val="24"/>
          <w:szCs w:val="24"/>
          <w:lang w:val="en-US"/>
        </w:rPr>
        <w:t xml:space="preserve">for </w:t>
      </w:r>
      <w:r w:rsidR="007F0248" w:rsidRPr="007D4016">
        <w:rPr>
          <w:rFonts w:ascii="Times New Roman" w:hAnsi="Times New Roman"/>
          <w:sz w:val="24"/>
          <w:szCs w:val="24"/>
          <w:lang w:val="en-US"/>
        </w:rPr>
        <w:t xml:space="preserve">the founders of </w:t>
      </w:r>
      <w:r w:rsidR="00F15F1E" w:rsidRPr="007D4016">
        <w:rPr>
          <w:rFonts w:ascii="Times New Roman" w:hAnsi="Times New Roman"/>
          <w:sz w:val="24"/>
          <w:szCs w:val="24"/>
          <w:lang w:val="en-US"/>
        </w:rPr>
        <w:t>private</w:t>
      </w:r>
      <w:r w:rsidR="007F0248" w:rsidRPr="007D4016">
        <w:rPr>
          <w:rFonts w:ascii="Times New Roman" w:hAnsi="Times New Roman"/>
          <w:sz w:val="24"/>
          <w:szCs w:val="24"/>
          <w:lang w:val="en-US"/>
        </w:rPr>
        <w:t xml:space="preserve"> institution</w:t>
      </w:r>
      <w:r w:rsidR="00C50AD0" w:rsidRPr="007D4016">
        <w:rPr>
          <w:rFonts w:ascii="Times New Roman" w:hAnsi="Times New Roman"/>
          <w:sz w:val="24"/>
          <w:szCs w:val="24"/>
          <w:lang w:val="en-US"/>
        </w:rPr>
        <w:t>s</w:t>
      </w:r>
      <w:r w:rsidR="007F0248" w:rsidRPr="007D4016">
        <w:rPr>
          <w:rFonts w:ascii="Times New Roman" w:hAnsi="Times New Roman"/>
          <w:sz w:val="24"/>
          <w:szCs w:val="24"/>
          <w:lang w:val="en-US"/>
        </w:rPr>
        <w:t xml:space="preserve"> to obtain </w:t>
      </w:r>
      <w:r w:rsidR="00922246" w:rsidRPr="007D4016">
        <w:rPr>
          <w:rFonts w:ascii="Times New Roman" w:hAnsi="Times New Roman"/>
          <w:sz w:val="24"/>
          <w:szCs w:val="24"/>
          <w:lang w:val="en-US"/>
        </w:rPr>
        <w:t xml:space="preserve">a </w:t>
      </w:r>
      <w:r w:rsidR="00B56A12" w:rsidRPr="007D4016">
        <w:rPr>
          <w:rFonts w:ascii="Times New Roman" w:hAnsi="Times New Roman"/>
          <w:sz w:val="24"/>
          <w:szCs w:val="24"/>
          <w:lang w:val="en-US"/>
        </w:rPr>
        <w:t>li</w:t>
      </w:r>
      <w:r w:rsidR="00B56A12">
        <w:rPr>
          <w:rFonts w:ascii="Times New Roman" w:hAnsi="Times New Roman"/>
          <w:sz w:val="24"/>
          <w:szCs w:val="24"/>
          <w:lang w:val="en-US"/>
        </w:rPr>
        <w:t>c</w:t>
      </w:r>
      <w:r w:rsidR="00B56A12" w:rsidRPr="007D4016">
        <w:rPr>
          <w:rFonts w:ascii="Times New Roman" w:hAnsi="Times New Roman"/>
          <w:sz w:val="24"/>
          <w:szCs w:val="24"/>
          <w:lang w:val="en-US"/>
        </w:rPr>
        <w:t>ense</w:t>
      </w:r>
      <w:r w:rsidR="00922246" w:rsidRPr="007D4016">
        <w:rPr>
          <w:rFonts w:ascii="Times New Roman" w:hAnsi="Times New Roman"/>
          <w:sz w:val="24"/>
          <w:szCs w:val="24"/>
          <w:lang w:val="en-US"/>
        </w:rPr>
        <w:t xml:space="preserve"> or permission from the Ministry</w:t>
      </w:r>
      <w:r w:rsidR="007F0248" w:rsidRPr="007D4016">
        <w:rPr>
          <w:rFonts w:ascii="Times New Roman" w:hAnsi="Times New Roman"/>
          <w:sz w:val="24"/>
          <w:szCs w:val="24"/>
          <w:lang w:val="en-US"/>
        </w:rPr>
        <w:t xml:space="preserve"> or the National Higher Education Council, </w:t>
      </w:r>
      <w:r w:rsidR="00676A5E" w:rsidRPr="007D4016">
        <w:rPr>
          <w:rFonts w:ascii="Times New Roman" w:hAnsi="Times New Roman"/>
          <w:sz w:val="24"/>
          <w:szCs w:val="24"/>
          <w:lang w:val="en-US"/>
        </w:rPr>
        <w:t>and be accredited</w:t>
      </w:r>
      <w:r w:rsidR="00F8571E" w:rsidRPr="007D4016">
        <w:rPr>
          <w:rFonts w:ascii="Times New Roman" w:hAnsi="Times New Roman"/>
          <w:sz w:val="24"/>
          <w:szCs w:val="24"/>
          <w:lang w:val="en-US"/>
        </w:rPr>
        <w:t xml:space="preserve"> </w:t>
      </w:r>
      <w:r w:rsidR="00B920E7" w:rsidRPr="007D4016">
        <w:rPr>
          <w:rFonts w:ascii="Times New Roman" w:hAnsi="Times New Roman"/>
          <w:sz w:val="24"/>
          <w:szCs w:val="24"/>
          <w:lang w:val="en-US"/>
        </w:rPr>
        <w:t>to be able to issue formal degrees.</w:t>
      </w:r>
      <w:r w:rsidR="00A8381C" w:rsidRPr="007D4016">
        <w:rPr>
          <w:rFonts w:ascii="Times New Roman" w:hAnsi="Times New Roman"/>
          <w:sz w:val="24"/>
          <w:szCs w:val="24"/>
          <w:lang w:val="en-US"/>
        </w:rPr>
        <w:t xml:space="preserve"> </w:t>
      </w:r>
      <w:r w:rsidR="00676A5E" w:rsidRPr="007D4016">
        <w:rPr>
          <w:rFonts w:ascii="Times New Roman" w:hAnsi="Times New Roman"/>
          <w:sz w:val="24"/>
          <w:szCs w:val="24"/>
          <w:lang w:val="en-US"/>
        </w:rPr>
        <w:t>A common finding from our interviews was that the conditions for establishing a private institutio</w:t>
      </w:r>
      <w:r w:rsidR="004B2E9E" w:rsidRPr="007D4016">
        <w:rPr>
          <w:rFonts w:ascii="Times New Roman" w:hAnsi="Times New Roman"/>
          <w:sz w:val="24"/>
          <w:szCs w:val="24"/>
          <w:lang w:val="en-US"/>
        </w:rPr>
        <w:t xml:space="preserve">n have been from the onset </w:t>
      </w:r>
      <w:r w:rsidR="00F15F1E" w:rsidRPr="007D4016">
        <w:rPr>
          <w:rFonts w:ascii="Times New Roman" w:hAnsi="Times New Roman"/>
          <w:sz w:val="24"/>
          <w:szCs w:val="24"/>
          <w:lang w:val="en-US"/>
        </w:rPr>
        <w:t xml:space="preserve">rather </w:t>
      </w:r>
      <w:r w:rsidR="00C50AD0" w:rsidRPr="007D4016">
        <w:rPr>
          <w:rFonts w:ascii="Times New Roman" w:hAnsi="Times New Roman"/>
          <w:sz w:val="24"/>
          <w:szCs w:val="24"/>
          <w:lang w:val="en-US"/>
        </w:rPr>
        <w:t>lenient</w:t>
      </w:r>
      <w:r w:rsidR="00676A5E" w:rsidRPr="007D4016">
        <w:rPr>
          <w:rFonts w:ascii="Times New Roman" w:hAnsi="Times New Roman"/>
          <w:sz w:val="24"/>
          <w:szCs w:val="24"/>
          <w:lang w:val="en-US"/>
        </w:rPr>
        <w:t xml:space="preserve"> and </w:t>
      </w:r>
      <w:r w:rsidR="00A8381C" w:rsidRPr="007D4016">
        <w:rPr>
          <w:rFonts w:ascii="Times New Roman" w:hAnsi="Times New Roman"/>
          <w:sz w:val="24"/>
          <w:szCs w:val="24"/>
          <w:lang w:val="en-US" w:eastAsia="en-GB"/>
        </w:rPr>
        <w:t>have largely remained unchanged.</w:t>
      </w:r>
      <w:r w:rsidR="00676A5E" w:rsidRPr="007D4016">
        <w:rPr>
          <w:rFonts w:ascii="Times New Roman" w:hAnsi="Times New Roman"/>
          <w:sz w:val="24"/>
          <w:szCs w:val="24"/>
          <w:lang w:val="en-US" w:eastAsia="en-GB"/>
        </w:rPr>
        <w:t xml:space="preserve"> </w:t>
      </w:r>
      <w:r w:rsidR="00F15F1E" w:rsidRPr="007D4016">
        <w:rPr>
          <w:rFonts w:ascii="Times New Roman" w:hAnsi="Times New Roman"/>
          <w:sz w:val="24"/>
          <w:szCs w:val="24"/>
          <w:lang w:val="en-US" w:eastAsia="en-GB"/>
        </w:rPr>
        <w:t>As suggested by one interviewee, t</w:t>
      </w:r>
      <w:r w:rsidR="00676A5E" w:rsidRPr="007D4016">
        <w:rPr>
          <w:rFonts w:ascii="Times New Roman" w:hAnsi="Times New Roman"/>
          <w:sz w:val="24"/>
          <w:szCs w:val="24"/>
          <w:lang w:val="en-US" w:eastAsia="en-GB"/>
        </w:rPr>
        <w:t>he fast growth in the number of private institutions is seen as havi</w:t>
      </w:r>
      <w:r w:rsidR="00C35603" w:rsidRPr="007D4016">
        <w:rPr>
          <w:rFonts w:ascii="Times New Roman" w:hAnsi="Times New Roman"/>
          <w:sz w:val="24"/>
          <w:szCs w:val="24"/>
          <w:lang w:val="en-US" w:eastAsia="en-GB"/>
        </w:rPr>
        <w:t>ng been enabled by the “</w:t>
      </w:r>
      <w:r w:rsidR="00C35603" w:rsidRPr="007D4016">
        <w:rPr>
          <w:rFonts w:ascii="Times New Roman" w:hAnsi="Times New Roman"/>
          <w:i/>
          <w:sz w:val="24"/>
          <w:szCs w:val="24"/>
          <w:lang w:val="en-US" w:eastAsia="en-GB"/>
        </w:rPr>
        <w:t xml:space="preserve">very soft </w:t>
      </w:r>
      <w:r w:rsidR="00676A5E" w:rsidRPr="007D4016">
        <w:rPr>
          <w:rFonts w:ascii="Times New Roman" w:hAnsi="Times New Roman"/>
          <w:i/>
          <w:sz w:val="24"/>
          <w:szCs w:val="24"/>
          <w:lang w:val="en-US" w:eastAsia="en-GB"/>
        </w:rPr>
        <w:t xml:space="preserve">criteria set and </w:t>
      </w:r>
      <w:r w:rsidR="00C50AD0" w:rsidRPr="007D4016">
        <w:rPr>
          <w:rFonts w:ascii="Times New Roman" w:hAnsi="Times New Roman"/>
          <w:i/>
          <w:sz w:val="24"/>
          <w:szCs w:val="24"/>
          <w:lang w:val="en-US" w:eastAsia="en-GB"/>
        </w:rPr>
        <w:t xml:space="preserve">the </w:t>
      </w:r>
      <w:r w:rsidR="00676A5E" w:rsidRPr="007D4016">
        <w:rPr>
          <w:rFonts w:ascii="Times New Roman" w:hAnsi="Times New Roman"/>
          <w:i/>
          <w:sz w:val="24"/>
          <w:szCs w:val="24"/>
          <w:lang w:val="en-US" w:eastAsia="en-GB"/>
        </w:rPr>
        <w:t>absence of strict conditions</w:t>
      </w:r>
      <w:r w:rsidR="00676A5E" w:rsidRPr="007D4016">
        <w:rPr>
          <w:rFonts w:ascii="Times New Roman" w:hAnsi="Times New Roman"/>
          <w:sz w:val="24"/>
          <w:szCs w:val="24"/>
          <w:lang w:val="en-US" w:eastAsia="en-GB"/>
        </w:rPr>
        <w:t xml:space="preserve">” (interview 73; Bosnia and Herzegovina 26/03/2012). </w:t>
      </w:r>
    </w:p>
    <w:p w14:paraId="7F9D4CD2" w14:textId="3E6E7D13" w:rsidR="002B42D4" w:rsidRDefault="002B42D4" w:rsidP="00676A5E">
      <w:pPr>
        <w:spacing w:after="100" w:afterAutospacing="1" w:line="240" w:lineRule="auto"/>
        <w:jc w:val="both"/>
        <w:rPr>
          <w:rFonts w:ascii="Times New Roman" w:hAnsi="Times New Roman"/>
          <w:i/>
          <w:sz w:val="24"/>
          <w:szCs w:val="24"/>
          <w:lang w:val="en-US" w:eastAsia="en-GB"/>
        </w:rPr>
      </w:pPr>
      <w:r>
        <w:rPr>
          <w:rFonts w:ascii="Times New Roman" w:hAnsi="Times New Roman"/>
          <w:sz w:val="24"/>
          <w:szCs w:val="24"/>
          <w:lang w:val="en-US" w:eastAsia="en-GB"/>
        </w:rPr>
        <w:t>I</w:t>
      </w:r>
      <w:r w:rsidR="00F15F1E" w:rsidRPr="007D4016">
        <w:rPr>
          <w:rFonts w:ascii="Times New Roman" w:hAnsi="Times New Roman"/>
          <w:sz w:val="24"/>
          <w:szCs w:val="24"/>
          <w:lang w:val="en-US" w:eastAsia="en-GB"/>
        </w:rPr>
        <w:t>nterview</w:t>
      </w:r>
      <w:r>
        <w:rPr>
          <w:rFonts w:ascii="Times New Roman" w:hAnsi="Times New Roman"/>
          <w:sz w:val="24"/>
          <w:szCs w:val="24"/>
          <w:lang w:val="en-US" w:eastAsia="en-GB"/>
        </w:rPr>
        <w:t xml:space="preserve">ees also pointed out a </w:t>
      </w:r>
      <w:r w:rsidR="00F15F1E" w:rsidRPr="007D4016">
        <w:rPr>
          <w:rFonts w:ascii="Times New Roman" w:hAnsi="Times New Roman"/>
          <w:sz w:val="24"/>
          <w:szCs w:val="24"/>
          <w:lang w:val="en-US" w:eastAsia="en-GB"/>
        </w:rPr>
        <w:t xml:space="preserve">regional </w:t>
      </w:r>
      <w:r w:rsidR="00676A5E" w:rsidRPr="007D4016">
        <w:rPr>
          <w:rFonts w:ascii="Times New Roman" w:hAnsi="Times New Roman"/>
          <w:sz w:val="24"/>
          <w:szCs w:val="24"/>
          <w:lang w:val="en-US" w:eastAsia="en-GB"/>
        </w:rPr>
        <w:t xml:space="preserve">phenomenon of political leaders or their sponsors </w:t>
      </w:r>
      <w:r w:rsidR="002A05B9" w:rsidRPr="007D4016">
        <w:rPr>
          <w:rFonts w:ascii="Times New Roman" w:hAnsi="Times New Roman"/>
          <w:sz w:val="24"/>
          <w:szCs w:val="24"/>
          <w:lang w:val="en-US" w:eastAsia="en-GB"/>
        </w:rPr>
        <w:t xml:space="preserve">founding </w:t>
      </w:r>
      <w:r w:rsidR="00676A5E" w:rsidRPr="007D4016">
        <w:rPr>
          <w:rFonts w:ascii="Times New Roman" w:hAnsi="Times New Roman"/>
          <w:sz w:val="24"/>
          <w:szCs w:val="24"/>
          <w:lang w:val="en-US" w:eastAsia="en-GB"/>
        </w:rPr>
        <w:t>“their own”</w:t>
      </w:r>
      <w:r w:rsidR="002A05B9" w:rsidRPr="007D4016">
        <w:rPr>
          <w:rFonts w:ascii="Times New Roman" w:hAnsi="Times New Roman"/>
          <w:sz w:val="24"/>
          <w:szCs w:val="24"/>
          <w:lang w:val="en-US" w:eastAsia="en-GB"/>
        </w:rPr>
        <w:t xml:space="preserve"> private</w:t>
      </w:r>
      <w:r w:rsidR="00676A5E" w:rsidRPr="007D4016">
        <w:rPr>
          <w:rFonts w:ascii="Times New Roman" w:hAnsi="Times New Roman"/>
          <w:sz w:val="24"/>
          <w:szCs w:val="24"/>
          <w:lang w:val="en-US" w:eastAsia="en-GB"/>
        </w:rPr>
        <w:t xml:space="preserve"> universities or colleges and employing academics from </w:t>
      </w:r>
      <w:r w:rsidR="00F15F1E" w:rsidRPr="007D4016">
        <w:rPr>
          <w:rFonts w:ascii="Times New Roman" w:hAnsi="Times New Roman"/>
          <w:sz w:val="24"/>
          <w:szCs w:val="24"/>
          <w:lang w:val="en-US" w:eastAsia="en-GB"/>
        </w:rPr>
        <w:t>their</w:t>
      </w:r>
      <w:r w:rsidR="00676A5E" w:rsidRPr="007D4016">
        <w:rPr>
          <w:rFonts w:ascii="Times New Roman" w:hAnsi="Times New Roman"/>
          <w:sz w:val="24"/>
          <w:szCs w:val="24"/>
          <w:lang w:val="en-US" w:eastAsia="en-GB"/>
        </w:rPr>
        <w:t xml:space="preserve"> political milieu. In </w:t>
      </w:r>
      <w:r w:rsidR="00C50AD0" w:rsidRPr="007D4016">
        <w:rPr>
          <w:rFonts w:ascii="Times New Roman" w:hAnsi="Times New Roman"/>
          <w:sz w:val="24"/>
          <w:szCs w:val="24"/>
          <w:lang w:val="en-US" w:eastAsia="en-GB"/>
        </w:rPr>
        <w:t xml:space="preserve">the </w:t>
      </w:r>
      <w:r w:rsidR="00676A5E" w:rsidRPr="007D4016">
        <w:rPr>
          <w:rFonts w:ascii="Times New Roman" w:hAnsi="Times New Roman"/>
          <w:sz w:val="24"/>
          <w:szCs w:val="24"/>
          <w:lang w:val="en-US" w:eastAsia="en-GB"/>
        </w:rPr>
        <w:t>words of one interviewee: “</w:t>
      </w:r>
      <w:r w:rsidR="00676A5E" w:rsidRPr="007D4016">
        <w:rPr>
          <w:rFonts w:ascii="Times New Roman" w:hAnsi="Times New Roman"/>
          <w:i/>
          <w:iCs/>
          <w:sz w:val="24"/>
          <w:szCs w:val="24"/>
          <w:lang w:val="en-US" w:eastAsia="en-GB"/>
        </w:rPr>
        <w:t xml:space="preserve">They </w:t>
      </w:r>
      <w:r w:rsidR="00676A5E" w:rsidRPr="007D4016">
        <w:rPr>
          <w:rFonts w:ascii="Times New Roman" w:hAnsi="Times New Roman"/>
          <w:iCs/>
          <w:sz w:val="24"/>
          <w:szCs w:val="24"/>
          <w:lang w:val="en-US" w:eastAsia="en-GB"/>
        </w:rPr>
        <w:t>[private institutions]</w:t>
      </w:r>
      <w:r w:rsidR="00676A5E" w:rsidRPr="007D4016">
        <w:rPr>
          <w:rFonts w:ascii="Times New Roman" w:hAnsi="Times New Roman"/>
          <w:i/>
          <w:iCs/>
          <w:sz w:val="24"/>
          <w:szCs w:val="24"/>
          <w:lang w:val="en-US" w:eastAsia="en-GB"/>
        </w:rPr>
        <w:t xml:space="preserve"> are protected by politicians and those who have a stake in them and are influential” </w:t>
      </w:r>
      <w:r w:rsidR="00676A5E" w:rsidRPr="007D4016">
        <w:rPr>
          <w:rFonts w:ascii="Times New Roman" w:hAnsi="Times New Roman"/>
          <w:sz w:val="24"/>
          <w:szCs w:val="24"/>
          <w:lang w:val="en-US" w:eastAsia="en-GB"/>
        </w:rPr>
        <w:t>(interview 66; Bosnia and Herzegovina 27/03/2012)</w:t>
      </w:r>
      <w:r w:rsidR="00676A5E" w:rsidRPr="007D4016">
        <w:rPr>
          <w:rFonts w:ascii="Times New Roman" w:hAnsi="Times New Roman"/>
          <w:i/>
          <w:iCs/>
          <w:sz w:val="24"/>
          <w:szCs w:val="24"/>
          <w:lang w:val="en-US" w:eastAsia="en-GB"/>
        </w:rPr>
        <w:t xml:space="preserve">. </w:t>
      </w:r>
      <w:r>
        <w:rPr>
          <w:rFonts w:ascii="Times New Roman" w:hAnsi="Times New Roman"/>
          <w:iCs/>
          <w:sz w:val="24"/>
          <w:szCs w:val="24"/>
          <w:lang w:val="en-US" w:eastAsia="en-GB"/>
        </w:rPr>
        <w:t>S</w:t>
      </w:r>
      <w:r w:rsidR="00676A5E" w:rsidRPr="007D4016">
        <w:rPr>
          <w:rFonts w:ascii="Times New Roman" w:hAnsi="Times New Roman"/>
          <w:iCs/>
          <w:sz w:val="24"/>
          <w:szCs w:val="24"/>
          <w:lang w:val="en-US" w:eastAsia="en-GB"/>
        </w:rPr>
        <w:t>imilar</w:t>
      </w:r>
      <w:r>
        <w:rPr>
          <w:rFonts w:ascii="Times New Roman" w:hAnsi="Times New Roman"/>
          <w:iCs/>
          <w:sz w:val="24"/>
          <w:szCs w:val="24"/>
          <w:lang w:val="en-US" w:eastAsia="en-GB"/>
        </w:rPr>
        <w:t xml:space="preserve">ly, an interviewee </w:t>
      </w:r>
      <w:r w:rsidR="00676A5E" w:rsidRPr="007D4016">
        <w:rPr>
          <w:rFonts w:ascii="Times New Roman" w:hAnsi="Times New Roman"/>
          <w:iCs/>
          <w:sz w:val="24"/>
          <w:szCs w:val="24"/>
          <w:lang w:val="en-US" w:eastAsia="en-GB"/>
        </w:rPr>
        <w:t>from Slovenia</w:t>
      </w:r>
      <w:r>
        <w:rPr>
          <w:rFonts w:ascii="Times New Roman" w:hAnsi="Times New Roman"/>
          <w:iCs/>
          <w:sz w:val="24"/>
          <w:szCs w:val="24"/>
          <w:lang w:val="en-US" w:eastAsia="en-GB"/>
        </w:rPr>
        <w:t xml:space="preserve"> explained</w:t>
      </w:r>
      <w:r w:rsidR="00676A5E" w:rsidRPr="007D4016">
        <w:rPr>
          <w:rFonts w:ascii="Times New Roman" w:hAnsi="Times New Roman"/>
          <w:iCs/>
          <w:sz w:val="24"/>
          <w:szCs w:val="24"/>
          <w:lang w:val="en-US" w:eastAsia="en-GB"/>
        </w:rPr>
        <w:t xml:space="preserve">: </w:t>
      </w:r>
    </w:p>
    <w:p w14:paraId="509908CD" w14:textId="4CC9B6FD" w:rsidR="002B42D4" w:rsidRDefault="00676A5E" w:rsidP="00B87194">
      <w:pPr>
        <w:spacing w:after="100" w:afterAutospacing="1" w:line="240" w:lineRule="auto"/>
        <w:ind w:left="720"/>
        <w:jc w:val="both"/>
        <w:rPr>
          <w:rFonts w:ascii="Times New Roman" w:hAnsi="Times New Roman"/>
          <w:sz w:val="24"/>
          <w:szCs w:val="24"/>
          <w:lang w:val="en-US" w:eastAsia="en-GB"/>
        </w:rPr>
      </w:pPr>
      <w:r w:rsidRPr="00B87194">
        <w:rPr>
          <w:rFonts w:ascii="Times New Roman" w:hAnsi="Times New Roman"/>
          <w:sz w:val="24"/>
          <w:szCs w:val="24"/>
          <w:lang w:val="en-US" w:eastAsia="en-GB"/>
        </w:rPr>
        <w:t xml:space="preserve">Who shapes higher education policy at national level? Four </w:t>
      </w:r>
      <w:r w:rsidR="00C50AD0" w:rsidRPr="00B87194">
        <w:rPr>
          <w:rFonts w:ascii="Times New Roman" w:hAnsi="Times New Roman"/>
          <w:sz w:val="24"/>
          <w:szCs w:val="24"/>
          <w:lang w:val="en-US" w:eastAsia="en-GB"/>
        </w:rPr>
        <w:t>or</w:t>
      </w:r>
      <w:r w:rsidRPr="00B87194">
        <w:rPr>
          <w:rFonts w:ascii="Times New Roman" w:hAnsi="Times New Roman"/>
          <w:sz w:val="24"/>
          <w:szCs w:val="24"/>
          <w:lang w:val="en-US" w:eastAsia="en-GB"/>
        </w:rPr>
        <w:t xml:space="preserve"> five individuals. All these people have established private universities, faculties […] We are shutting our eyes if we believe that the university, faculties and experts are shaping higher education policy. Higher education has become ‘politics.com</w:t>
      </w:r>
      <w:r w:rsidR="002B42D4" w:rsidRPr="00B87194">
        <w:rPr>
          <w:rFonts w:ascii="Times New Roman" w:hAnsi="Times New Roman"/>
          <w:sz w:val="24"/>
          <w:szCs w:val="24"/>
          <w:lang w:val="en-US" w:eastAsia="en-GB"/>
        </w:rPr>
        <w:t>.</w:t>
      </w:r>
      <w:r w:rsidRPr="00B87194">
        <w:rPr>
          <w:rFonts w:ascii="Times New Roman" w:hAnsi="Times New Roman"/>
          <w:sz w:val="24"/>
          <w:szCs w:val="24"/>
          <w:lang w:val="en-US" w:eastAsia="en-GB"/>
        </w:rPr>
        <w:t>’</w:t>
      </w:r>
      <w:r w:rsidRPr="007D4016">
        <w:rPr>
          <w:rFonts w:ascii="Times New Roman" w:hAnsi="Times New Roman"/>
          <w:i/>
          <w:sz w:val="24"/>
          <w:szCs w:val="24"/>
          <w:lang w:val="en-US" w:eastAsia="en-GB"/>
        </w:rPr>
        <w:t xml:space="preserve"> </w:t>
      </w:r>
      <w:r w:rsidRPr="007D4016">
        <w:rPr>
          <w:rFonts w:ascii="Times New Roman" w:hAnsi="Times New Roman"/>
          <w:sz w:val="24"/>
          <w:szCs w:val="24"/>
          <w:lang w:val="en-US" w:eastAsia="en-GB"/>
        </w:rPr>
        <w:t xml:space="preserve">(interview 42; Slovenia 27/02/2012) </w:t>
      </w:r>
    </w:p>
    <w:p w14:paraId="19F38BB3" w14:textId="6D1EC903" w:rsidR="00B87194" w:rsidRPr="00B87194" w:rsidRDefault="00676A5E" w:rsidP="00676A5E">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These perceptions are intertwined with the view that private economic interests are not compatible with the public purpose of higher education. In </w:t>
      </w:r>
      <w:r w:rsidR="00C50AD0" w:rsidRPr="007D4016">
        <w:rPr>
          <w:rFonts w:ascii="Times New Roman" w:hAnsi="Times New Roman"/>
          <w:sz w:val="24"/>
          <w:szCs w:val="24"/>
          <w:lang w:val="en-US" w:eastAsia="en-GB"/>
        </w:rPr>
        <w:t xml:space="preserve">the </w:t>
      </w:r>
      <w:r w:rsidRPr="007D4016">
        <w:rPr>
          <w:rFonts w:ascii="Times New Roman" w:hAnsi="Times New Roman"/>
          <w:sz w:val="24"/>
          <w:szCs w:val="24"/>
          <w:lang w:val="en-US" w:eastAsia="en-GB"/>
        </w:rPr>
        <w:t>words of one of our interviewees</w:t>
      </w:r>
      <w:r w:rsidR="00B87194">
        <w:rPr>
          <w:rFonts w:ascii="Times New Roman" w:hAnsi="Times New Roman"/>
          <w:sz w:val="24"/>
          <w:szCs w:val="24"/>
          <w:lang w:val="en-US" w:eastAsia="en-GB"/>
        </w:rPr>
        <w:t>,</w:t>
      </w:r>
      <w:r w:rsidRPr="007D4016">
        <w:rPr>
          <w:rFonts w:ascii="Times New Roman" w:hAnsi="Times New Roman"/>
          <w:sz w:val="24"/>
          <w:szCs w:val="24"/>
          <w:lang w:val="en-US" w:eastAsia="en-GB"/>
        </w:rPr>
        <w:t xml:space="preserve"> </w:t>
      </w:r>
      <w:r w:rsidRPr="00B87194">
        <w:rPr>
          <w:rFonts w:ascii="Times New Roman" w:hAnsi="Times New Roman"/>
          <w:sz w:val="24"/>
          <w:szCs w:val="24"/>
          <w:lang w:val="en-US" w:eastAsia="en-GB"/>
        </w:rPr>
        <w:t>“</w:t>
      </w:r>
      <w:r w:rsidRPr="00974973">
        <w:rPr>
          <w:rFonts w:ascii="Times New Roman" w:hAnsi="Times New Roman"/>
          <w:iCs/>
          <w:sz w:val="24"/>
          <w:szCs w:val="24"/>
          <w:lang w:val="en-US" w:eastAsia="en-GB"/>
        </w:rPr>
        <w:t xml:space="preserve">private initiative has been allowed too soon – not only on the higher education level, but also </w:t>
      </w:r>
      <w:r w:rsidR="00B87194" w:rsidRPr="00974973">
        <w:rPr>
          <w:rFonts w:ascii="Times New Roman" w:hAnsi="Times New Roman"/>
          <w:iCs/>
          <w:sz w:val="24"/>
          <w:szCs w:val="24"/>
          <w:lang w:val="en-US" w:eastAsia="en-GB"/>
        </w:rPr>
        <w:t>at</w:t>
      </w:r>
      <w:r w:rsidRPr="00974973">
        <w:rPr>
          <w:rFonts w:ascii="Times New Roman" w:hAnsi="Times New Roman"/>
          <w:iCs/>
          <w:sz w:val="24"/>
          <w:szCs w:val="24"/>
          <w:lang w:val="en-US" w:eastAsia="en-GB"/>
        </w:rPr>
        <w:t xml:space="preserve"> other levels of education</w:t>
      </w:r>
      <w:r w:rsidR="00B87194" w:rsidRPr="00B87194">
        <w:rPr>
          <w:rFonts w:ascii="Times New Roman" w:hAnsi="Times New Roman"/>
          <w:sz w:val="24"/>
          <w:szCs w:val="24"/>
          <w:lang w:val="en-US" w:eastAsia="en-GB"/>
        </w:rPr>
        <w:t>:”</w:t>
      </w:r>
      <w:r w:rsidRPr="00B87194">
        <w:rPr>
          <w:rFonts w:ascii="Times New Roman" w:hAnsi="Times New Roman"/>
          <w:sz w:val="24"/>
          <w:szCs w:val="24"/>
          <w:lang w:val="en-US" w:eastAsia="en-GB"/>
        </w:rPr>
        <w:t xml:space="preserve"> </w:t>
      </w:r>
    </w:p>
    <w:p w14:paraId="2F4302BB" w14:textId="704EA20D" w:rsidR="00676A5E" w:rsidRPr="00B87194" w:rsidRDefault="004F53F6" w:rsidP="00974973">
      <w:pPr>
        <w:spacing w:after="100" w:afterAutospacing="1" w:line="240" w:lineRule="auto"/>
        <w:ind w:left="720"/>
        <w:jc w:val="both"/>
        <w:rPr>
          <w:rFonts w:ascii="Times New Roman" w:hAnsi="Times New Roman"/>
          <w:sz w:val="24"/>
          <w:szCs w:val="24"/>
          <w:lang w:val="en-US" w:eastAsia="en-GB"/>
        </w:rPr>
      </w:pPr>
      <w:r w:rsidRPr="0014186D">
        <w:rPr>
          <w:rFonts w:ascii="Times New Roman" w:hAnsi="Times New Roman"/>
          <w:iCs/>
          <w:sz w:val="24"/>
          <w:szCs w:val="24"/>
          <w:lang w:val="en-US" w:eastAsia="en-GB"/>
        </w:rPr>
        <w:t xml:space="preserve">When we get the right to establish a private Faculty or University we will do this – not for the sake of the prosperity of our community, </w:t>
      </w:r>
      <w:r w:rsidR="00676A5E" w:rsidRPr="00B87194">
        <w:rPr>
          <w:rFonts w:ascii="Times New Roman" w:hAnsi="Times New Roman"/>
          <w:sz w:val="24"/>
          <w:szCs w:val="24"/>
          <w:lang w:val="en-US" w:eastAsia="en-GB"/>
        </w:rPr>
        <w:t xml:space="preserve">[…] </w:t>
      </w:r>
      <w:r w:rsidRPr="0014186D">
        <w:rPr>
          <w:rFonts w:ascii="Times New Roman" w:hAnsi="Times New Roman"/>
          <w:iCs/>
          <w:sz w:val="24"/>
          <w:szCs w:val="24"/>
          <w:lang w:val="en-US" w:eastAsia="en-GB"/>
        </w:rPr>
        <w:t xml:space="preserve">but because we need money for our private pockets. The private higher education institutions – not only in </w:t>
      </w:r>
      <w:r w:rsidR="00676A5E" w:rsidRPr="00B87194">
        <w:rPr>
          <w:rFonts w:ascii="Times New Roman" w:hAnsi="Times New Roman"/>
          <w:sz w:val="24"/>
          <w:szCs w:val="24"/>
          <w:lang w:val="en-US" w:eastAsia="en-GB"/>
        </w:rPr>
        <w:t>[our country]</w:t>
      </w:r>
      <w:r w:rsidRPr="0014186D">
        <w:rPr>
          <w:rFonts w:ascii="Times New Roman" w:hAnsi="Times New Roman"/>
          <w:iCs/>
          <w:sz w:val="24"/>
          <w:szCs w:val="24"/>
          <w:lang w:val="en-US" w:eastAsia="en-GB"/>
        </w:rPr>
        <w:t>, but in the broader region – are</w:t>
      </w:r>
      <w:r w:rsidR="00B87194">
        <w:rPr>
          <w:rFonts w:ascii="Times New Roman" w:hAnsi="Times New Roman"/>
          <w:iCs/>
          <w:sz w:val="24"/>
          <w:szCs w:val="24"/>
          <w:lang w:val="en-US" w:eastAsia="en-GB"/>
        </w:rPr>
        <w:t>,</w:t>
      </w:r>
      <w:r w:rsidRPr="0014186D">
        <w:rPr>
          <w:rFonts w:ascii="Times New Roman" w:hAnsi="Times New Roman"/>
          <w:iCs/>
          <w:sz w:val="24"/>
          <w:szCs w:val="24"/>
          <w:lang w:val="en-US" w:eastAsia="en-GB"/>
        </w:rPr>
        <w:t xml:space="preserve"> in the first place</w:t>
      </w:r>
      <w:r w:rsidR="00B87194">
        <w:rPr>
          <w:rFonts w:ascii="Times New Roman" w:hAnsi="Times New Roman"/>
          <w:iCs/>
          <w:sz w:val="24"/>
          <w:szCs w:val="24"/>
          <w:lang w:val="en-US" w:eastAsia="en-GB"/>
        </w:rPr>
        <w:t>,</w:t>
      </w:r>
      <w:r w:rsidRPr="0014186D">
        <w:rPr>
          <w:rFonts w:ascii="Times New Roman" w:hAnsi="Times New Roman"/>
          <w:iCs/>
          <w:sz w:val="24"/>
          <w:szCs w:val="24"/>
          <w:lang w:val="en-US" w:eastAsia="en-GB"/>
        </w:rPr>
        <w:t xml:space="preserve"> commercially oriented.”</w:t>
      </w:r>
      <w:r w:rsidR="00676A5E" w:rsidRPr="00B87194">
        <w:rPr>
          <w:rFonts w:ascii="Times New Roman" w:hAnsi="Times New Roman"/>
          <w:sz w:val="24"/>
          <w:szCs w:val="24"/>
          <w:lang w:val="en-US" w:eastAsia="en-GB"/>
        </w:rPr>
        <w:t xml:space="preserve"> (interview 66; Bosnia and Herzegovina 27/03/2012)</w:t>
      </w:r>
    </w:p>
    <w:p w14:paraId="38CC9C52" w14:textId="6DFDB0BE" w:rsidR="00974973" w:rsidRDefault="00974973" w:rsidP="005470FA">
      <w:pPr>
        <w:spacing w:after="100" w:afterAutospacing="1" w:line="240" w:lineRule="auto"/>
        <w:jc w:val="both"/>
        <w:rPr>
          <w:rFonts w:ascii="Times New Roman" w:hAnsi="Times New Roman"/>
          <w:bCs/>
          <w:iCs/>
          <w:sz w:val="24"/>
          <w:szCs w:val="24"/>
          <w:lang w:val="en-US"/>
        </w:rPr>
      </w:pPr>
      <w:r>
        <w:rPr>
          <w:rFonts w:ascii="Times New Roman" w:hAnsi="Times New Roman"/>
          <w:sz w:val="24"/>
          <w:szCs w:val="24"/>
          <w:lang w:val="en-US"/>
        </w:rPr>
        <w:t xml:space="preserve">The quality of private higher education institutions is supposed to be monitored by the accreditation process. </w:t>
      </w:r>
      <w:r w:rsidR="00676A5E" w:rsidRPr="007D4016">
        <w:rPr>
          <w:rFonts w:ascii="Times New Roman" w:hAnsi="Times New Roman"/>
          <w:sz w:val="24"/>
          <w:szCs w:val="24"/>
          <w:lang w:val="en-US"/>
        </w:rPr>
        <w:t xml:space="preserve">Following </w:t>
      </w:r>
      <w:r w:rsidR="00A8381C" w:rsidRPr="007D4016">
        <w:rPr>
          <w:rFonts w:ascii="Times New Roman" w:hAnsi="Times New Roman"/>
          <w:sz w:val="24"/>
          <w:szCs w:val="24"/>
          <w:lang w:val="en-US" w:eastAsia="en-GB"/>
        </w:rPr>
        <w:t>the European Standards and Guidelines for Quality Assurance in Europe (2005)</w:t>
      </w:r>
      <w:r w:rsidR="00676A5E" w:rsidRPr="007D4016">
        <w:rPr>
          <w:rFonts w:ascii="Times New Roman" w:hAnsi="Times New Roman"/>
          <w:sz w:val="24"/>
          <w:szCs w:val="24"/>
          <w:lang w:val="en-US" w:eastAsia="en-GB"/>
        </w:rPr>
        <w:t xml:space="preserve"> in the context of the Bologna Process</w:t>
      </w:r>
      <w:r w:rsidR="00A8381C" w:rsidRPr="007D4016">
        <w:rPr>
          <w:rFonts w:ascii="Times New Roman" w:hAnsi="Times New Roman"/>
          <w:sz w:val="24"/>
          <w:szCs w:val="24"/>
          <w:lang w:val="en-US" w:eastAsia="en-GB"/>
        </w:rPr>
        <w:t xml:space="preserve">, all countries have introduced independent external accreditation agencies or bodies and strengthened the accreditation and external quality assurance procedures. </w:t>
      </w:r>
      <w:r w:rsidR="005470FA" w:rsidRPr="007D4016">
        <w:rPr>
          <w:rFonts w:ascii="Times New Roman" w:hAnsi="Times New Roman"/>
          <w:sz w:val="24"/>
          <w:szCs w:val="24"/>
          <w:lang w:val="en-US" w:eastAsia="en-GB"/>
        </w:rPr>
        <w:t>However, the</w:t>
      </w:r>
      <w:r w:rsidR="00F15F1E" w:rsidRPr="007D4016">
        <w:rPr>
          <w:rFonts w:ascii="Times New Roman" w:hAnsi="Times New Roman"/>
          <w:sz w:val="24"/>
          <w:szCs w:val="24"/>
          <w:lang w:val="en-US" w:eastAsia="en-GB"/>
        </w:rPr>
        <w:t>ir</w:t>
      </w:r>
      <w:r w:rsidR="005470FA" w:rsidRPr="007D4016">
        <w:rPr>
          <w:rFonts w:ascii="Times New Roman" w:hAnsi="Times New Roman"/>
          <w:bCs/>
          <w:iCs/>
          <w:sz w:val="24"/>
          <w:szCs w:val="24"/>
          <w:lang w:val="en-US"/>
        </w:rPr>
        <w:t xml:space="preserve"> actual implementation has been gradual and </w:t>
      </w:r>
      <w:r w:rsidR="002A05B9" w:rsidRPr="007D4016">
        <w:rPr>
          <w:rFonts w:ascii="Times New Roman" w:hAnsi="Times New Roman"/>
          <w:bCs/>
          <w:iCs/>
          <w:sz w:val="24"/>
          <w:szCs w:val="24"/>
          <w:lang w:val="en-US"/>
        </w:rPr>
        <w:t>often</w:t>
      </w:r>
      <w:r w:rsidR="005470FA" w:rsidRPr="007D4016">
        <w:rPr>
          <w:rFonts w:ascii="Times New Roman" w:hAnsi="Times New Roman"/>
          <w:bCs/>
          <w:iCs/>
          <w:sz w:val="24"/>
          <w:szCs w:val="24"/>
          <w:lang w:val="en-US"/>
        </w:rPr>
        <w:t xml:space="preserve"> superficial</w:t>
      </w:r>
      <w:r>
        <w:rPr>
          <w:rFonts w:ascii="Times New Roman" w:hAnsi="Times New Roman"/>
          <w:bCs/>
          <w:iCs/>
          <w:sz w:val="24"/>
          <w:szCs w:val="24"/>
          <w:lang w:val="en-US"/>
        </w:rPr>
        <w:t>, compromising the quality of higher education programs and encouraging the growth of the private sector</w:t>
      </w:r>
      <w:r w:rsidR="0014186D">
        <w:rPr>
          <w:rFonts w:ascii="Times New Roman" w:hAnsi="Times New Roman"/>
          <w:bCs/>
          <w:iCs/>
          <w:sz w:val="24"/>
          <w:szCs w:val="24"/>
          <w:lang w:val="en-US"/>
        </w:rPr>
        <w:t>.</w:t>
      </w:r>
      <w:r w:rsidR="005470FA" w:rsidRPr="007D4016">
        <w:rPr>
          <w:rFonts w:ascii="Times New Roman" w:hAnsi="Times New Roman"/>
          <w:bCs/>
          <w:iCs/>
          <w:sz w:val="24"/>
          <w:szCs w:val="24"/>
          <w:lang w:val="en-US"/>
        </w:rPr>
        <w:t xml:space="preserve"> As stated by one of our interviewees: </w:t>
      </w:r>
    </w:p>
    <w:p w14:paraId="3A14879E" w14:textId="23154B15" w:rsidR="00C96861" w:rsidRPr="00974973" w:rsidRDefault="00974973" w:rsidP="00974973">
      <w:pPr>
        <w:spacing w:after="100" w:afterAutospacing="1" w:line="240" w:lineRule="auto"/>
        <w:ind w:left="720"/>
        <w:jc w:val="both"/>
        <w:rPr>
          <w:rFonts w:ascii="Times New Roman" w:hAnsi="Times New Roman"/>
          <w:sz w:val="24"/>
          <w:szCs w:val="24"/>
          <w:lang w:val="en-US" w:eastAsia="en-GB"/>
        </w:rPr>
      </w:pPr>
      <w:r w:rsidRPr="00974973">
        <w:rPr>
          <w:rFonts w:ascii="Times New Roman" w:hAnsi="Times New Roman"/>
          <w:iCs/>
          <w:sz w:val="24"/>
          <w:szCs w:val="24"/>
          <w:lang w:val="en-US" w:eastAsia="en-GB"/>
        </w:rPr>
        <w:t>E</w:t>
      </w:r>
      <w:r w:rsidR="005470FA" w:rsidRPr="00974973">
        <w:rPr>
          <w:rFonts w:ascii="Times New Roman" w:hAnsi="Times New Roman"/>
          <w:iCs/>
          <w:sz w:val="24"/>
          <w:szCs w:val="24"/>
          <w:lang w:val="en-US" w:eastAsia="en-GB"/>
        </w:rPr>
        <w:t xml:space="preserve">xternal accreditation is legally formulated in a way that those responsible for accreditation should make an evaluation </w:t>
      </w:r>
      <w:r w:rsidR="005470FA" w:rsidRPr="00974973">
        <w:rPr>
          <w:rFonts w:ascii="Times New Roman" w:hAnsi="Times New Roman"/>
          <w:sz w:val="24"/>
          <w:szCs w:val="24"/>
          <w:lang w:val="en-US" w:eastAsia="en-GB"/>
        </w:rPr>
        <w:t xml:space="preserve">[of institutions]. </w:t>
      </w:r>
      <w:r w:rsidR="005470FA" w:rsidRPr="00974973">
        <w:rPr>
          <w:rFonts w:ascii="Times New Roman" w:hAnsi="Times New Roman"/>
          <w:iCs/>
          <w:sz w:val="24"/>
          <w:szCs w:val="24"/>
          <w:lang w:val="en-US" w:eastAsia="en-GB"/>
        </w:rPr>
        <w:t xml:space="preserve">Therefore I do not understand whether those responsible for accreditation are marginally willing or not at all willing to exert their role and thus influence the higher education system. If they </w:t>
      </w:r>
      <w:r w:rsidR="00C50AD0" w:rsidRPr="00974973">
        <w:rPr>
          <w:rFonts w:ascii="Times New Roman" w:hAnsi="Times New Roman"/>
          <w:iCs/>
          <w:sz w:val="24"/>
          <w:szCs w:val="24"/>
          <w:lang w:val="en-US" w:eastAsia="en-GB"/>
        </w:rPr>
        <w:t>a</w:t>
      </w:r>
      <w:r w:rsidR="005470FA" w:rsidRPr="00974973">
        <w:rPr>
          <w:rFonts w:ascii="Times New Roman" w:hAnsi="Times New Roman"/>
          <w:iCs/>
          <w:sz w:val="24"/>
          <w:szCs w:val="24"/>
          <w:lang w:val="en-US" w:eastAsia="en-GB"/>
        </w:rPr>
        <w:t xml:space="preserve">re willing to perform their tasks correctly and </w:t>
      </w:r>
      <w:r w:rsidR="00C50AD0" w:rsidRPr="00974973">
        <w:rPr>
          <w:rFonts w:ascii="Times New Roman" w:hAnsi="Times New Roman"/>
          <w:iCs/>
          <w:sz w:val="24"/>
          <w:szCs w:val="24"/>
          <w:lang w:val="en-US" w:eastAsia="en-GB"/>
        </w:rPr>
        <w:t xml:space="preserve">if </w:t>
      </w:r>
      <w:r w:rsidR="005470FA" w:rsidRPr="00974973">
        <w:rPr>
          <w:rFonts w:ascii="Times New Roman" w:hAnsi="Times New Roman"/>
          <w:iCs/>
          <w:sz w:val="24"/>
          <w:szCs w:val="24"/>
          <w:lang w:val="en-US" w:eastAsia="en-GB"/>
        </w:rPr>
        <w:t>there was a rigorous Accreditation Commission, at least 30% of faculties in our country – public and private – would not pass such accreditation</w:t>
      </w:r>
      <w:r w:rsidRPr="00974973">
        <w:rPr>
          <w:rFonts w:ascii="Times New Roman" w:hAnsi="Times New Roman"/>
          <w:iCs/>
          <w:sz w:val="24"/>
          <w:szCs w:val="24"/>
          <w:lang w:val="en-US" w:eastAsia="en-GB"/>
        </w:rPr>
        <w:t>.</w:t>
      </w:r>
      <w:r w:rsidR="005470FA" w:rsidRPr="00974973">
        <w:rPr>
          <w:rFonts w:ascii="Times New Roman" w:hAnsi="Times New Roman"/>
          <w:iCs/>
          <w:sz w:val="24"/>
          <w:szCs w:val="24"/>
          <w:lang w:val="en-US" w:eastAsia="en-GB"/>
        </w:rPr>
        <w:t xml:space="preserve"> </w:t>
      </w:r>
      <w:r w:rsidR="005470FA" w:rsidRPr="00974973">
        <w:rPr>
          <w:rFonts w:ascii="Times New Roman" w:hAnsi="Times New Roman"/>
          <w:sz w:val="24"/>
          <w:szCs w:val="24"/>
          <w:lang w:val="en-US" w:eastAsia="en-GB"/>
        </w:rPr>
        <w:t xml:space="preserve">(interview 23; Montenegro 01/03/2012) </w:t>
      </w:r>
    </w:p>
    <w:p w14:paraId="40A3935D" w14:textId="77777777" w:rsidR="00E94582" w:rsidRPr="007D4016" w:rsidRDefault="00E94582" w:rsidP="00F854EA">
      <w:pPr>
        <w:pStyle w:val="Heading2"/>
        <w:spacing w:before="240" w:after="120" w:line="240" w:lineRule="auto"/>
        <w:rPr>
          <w:rFonts w:ascii="Times New Roman" w:hAnsi="Times New Roman" w:cs="Times New Roman"/>
          <w:b w:val="0"/>
          <w:i/>
          <w:color w:val="000000" w:themeColor="text1"/>
          <w:sz w:val="24"/>
          <w:szCs w:val="24"/>
          <w:lang w:val="en-US" w:eastAsia="en-GB"/>
        </w:rPr>
      </w:pPr>
      <w:r w:rsidRPr="007D4016">
        <w:rPr>
          <w:rFonts w:ascii="Times New Roman" w:hAnsi="Times New Roman" w:cs="Times New Roman"/>
          <w:b w:val="0"/>
          <w:i/>
          <w:color w:val="000000" w:themeColor="text1"/>
          <w:sz w:val="24"/>
          <w:szCs w:val="24"/>
          <w:lang w:val="en-US" w:eastAsia="en-GB"/>
        </w:rPr>
        <w:t>Private institutions’ access to public resources</w:t>
      </w:r>
    </w:p>
    <w:p w14:paraId="5E591DE4" w14:textId="4C3F0587" w:rsidR="00D56724" w:rsidRPr="007D4016" w:rsidRDefault="00B87194" w:rsidP="00691469">
      <w:pPr>
        <w:spacing w:after="100" w:afterAutospacing="1" w:line="240" w:lineRule="auto"/>
        <w:jc w:val="both"/>
        <w:rPr>
          <w:rFonts w:ascii="Times New Roman" w:hAnsi="Times New Roman"/>
          <w:sz w:val="24"/>
          <w:szCs w:val="24"/>
          <w:lang w:val="en-US" w:eastAsia="en-GB"/>
        </w:rPr>
      </w:pPr>
      <w:r>
        <w:rPr>
          <w:rFonts w:ascii="Times New Roman" w:hAnsi="Times New Roman"/>
          <w:sz w:val="24"/>
          <w:szCs w:val="24"/>
          <w:lang w:val="en-US" w:eastAsia="en-GB"/>
        </w:rPr>
        <w:t>I</w:t>
      </w:r>
      <w:r w:rsidR="00F15F1E" w:rsidRPr="007D4016">
        <w:rPr>
          <w:rFonts w:ascii="Times New Roman" w:hAnsi="Times New Roman"/>
          <w:sz w:val="24"/>
          <w:szCs w:val="24"/>
          <w:lang w:val="en-US" w:eastAsia="en-GB"/>
        </w:rPr>
        <w:t xml:space="preserve">nterviews </w:t>
      </w:r>
      <w:r>
        <w:rPr>
          <w:rFonts w:ascii="Times New Roman" w:hAnsi="Times New Roman"/>
          <w:sz w:val="24"/>
          <w:szCs w:val="24"/>
          <w:lang w:val="en-US" w:eastAsia="en-GB"/>
        </w:rPr>
        <w:t>revealed</w:t>
      </w:r>
      <w:r w:rsidR="00F15F1E" w:rsidRPr="007D4016">
        <w:rPr>
          <w:rFonts w:ascii="Times New Roman" w:hAnsi="Times New Roman"/>
          <w:sz w:val="24"/>
          <w:szCs w:val="24"/>
          <w:lang w:val="en-US" w:eastAsia="en-GB"/>
        </w:rPr>
        <w:t xml:space="preserve"> that a</w:t>
      </w:r>
      <w:r w:rsidR="00783FC2" w:rsidRPr="007D4016">
        <w:rPr>
          <w:rFonts w:ascii="Times New Roman" w:hAnsi="Times New Roman"/>
          <w:sz w:val="24"/>
          <w:szCs w:val="24"/>
          <w:lang w:val="en-US" w:eastAsia="en-GB"/>
        </w:rPr>
        <w:t xml:space="preserve">ccess of private providers to public resources has been the main sticking point in the public-private dynamic in the </w:t>
      </w:r>
      <w:r>
        <w:rPr>
          <w:rFonts w:ascii="Times New Roman" w:hAnsi="Times New Roman"/>
          <w:sz w:val="24"/>
          <w:szCs w:val="24"/>
          <w:lang w:val="en-US" w:eastAsia="en-GB"/>
        </w:rPr>
        <w:t>Balkan</w:t>
      </w:r>
      <w:r w:rsidR="00783FC2" w:rsidRPr="007D4016">
        <w:rPr>
          <w:rFonts w:ascii="Times New Roman" w:hAnsi="Times New Roman"/>
          <w:sz w:val="24"/>
          <w:szCs w:val="24"/>
          <w:lang w:val="en-US" w:eastAsia="en-GB"/>
        </w:rPr>
        <w:t xml:space="preserve"> countries. </w:t>
      </w:r>
      <w:r w:rsidR="002A05B9" w:rsidRPr="007D4016">
        <w:rPr>
          <w:rFonts w:ascii="Times New Roman" w:hAnsi="Times New Roman"/>
          <w:sz w:val="24"/>
          <w:szCs w:val="24"/>
          <w:lang w:val="en-US" w:eastAsia="en-GB"/>
        </w:rPr>
        <w:t xml:space="preserve">The main issue is whether the state finances study programs offered </w:t>
      </w:r>
      <w:r>
        <w:rPr>
          <w:rFonts w:ascii="Times New Roman" w:hAnsi="Times New Roman"/>
          <w:sz w:val="24"/>
          <w:szCs w:val="24"/>
          <w:lang w:val="en-US" w:eastAsia="en-GB"/>
        </w:rPr>
        <w:t>by</w:t>
      </w:r>
      <w:r w:rsidR="002A05B9" w:rsidRPr="007D4016">
        <w:rPr>
          <w:rFonts w:ascii="Times New Roman" w:hAnsi="Times New Roman"/>
          <w:sz w:val="24"/>
          <w:szCs w:val="24"/>
          <w:lang w:val="en-US" w:eastAsia="en-GB"/>
        </w:rPr>
        <w:t xml:space="preserve"> public institutions</w:t>
      </w:r>
      <w:r>
        <w:rPr>
          <w:rFonts w:ascii="Times New Roman" w:hAnsi="Times New Roman"/>
          <w:sz w:val="24"/>
          <w:szCs w:val="24"/>
          <w:lang w:val="en-US" w:eastAsia="en-GB"/>
        </w:rPr>
        <w:t xml:space="preserve"> only</w:t>
      </w:r>
      <w:r w:rsidR="002A05B9" w:rsidRPr="007D4016">
        <w:rPr>
          <w:rFonts w:ascii="Times New Roman" w:hAnsi="Times New Roman"/>
          <w:sz w:val="24"/>
          <w:szCs w:val="24"/>
          <w:lang w:val="en-US" w:eastAsia="en-GB"/>
        </w:rPr>
        <w:t xml:space="preserve"> or</w:t>
      </w:r>
      <w:r>
        <w:rPr>
          <w:rFonts w:ascii="Times New Roman" w:hAnsi="Times New Roman"/>
          <w:sz w:val="24"/>
          <w:szCs w:val="24"/>
          <w:lang w:val="en-US" w:eastAsia="en-GB"/>
        </w:rPr>
        <w:t xml:space="preserve"> whether state finances are also available to </w:t>
      </w:r>
      <w:r w:rsidR="002A05B9" w:rsidRPr="007D4016">
        <w:rPr>
          <w:rFonts w:ascii="Times New Roman" w:hAnsi="Times New Roman"/>
          <w:sz w:val="24"/>
          <w:szCs w:val="24"/>
          <w:lang w:val="en-US" w:eastAsia="en-GB"/>
        </w:rPr>
        <w:t xml:space="preserve">private institutions. </w:t>
      </w:r>
      <w:r w:rsidR="00783FC2" w:rsidRPr="007D4016">
        <w:rPr>
          <w:rFonts w:ascii="Times New Roman" w:hAnsi="Times New Roman"/>
          <w:sz w:val="24"/>
          <w:szCs w:val="24"/>
          <w:lang w:val="en-US" w:eastAsia="en-GB"/>
        </w:rPr>
        <w:t>As</w:t>
      </w:r>
      <w:r w:rsidR="002A05B9" w:rsidRPr="007D4016">
        <w:rPr>
          <w:rFonts w:ascii="Times New Roman" w:hAnsi="Times New Roman"/>
          <w:sz w:val="24"/>
          <w:szCs w:val="24"/>
          <w:lang w:val="en-US" w:eastAsia="en-GB"/>
        </w:rPr>
        <w:t xml:space="preserve"> pointed out by one interviewee</w:t>
      </w:r>
      <w:r w:rsidR="00783FC2" w:rsidRPr="007D4016">
        <w:rPr>
          <w:rFonts w:ascii="Times New Roman" w:hAnsi="Times New Roman"/>
          <w:sz w:val="24"/>
          <w:szCs w:val="24"/>
          <w:lang w:val="en-US" w:eastAsia="en-GB"/>
        </w:rPr>
        <w:t>: “</w:t>
      </w:r>
      <w:r w:rsidR="00783FC2" w:rsidRPr="007D4016">
        <w:rPr>
          <w:rFonts w:ascii="Times New Roman" w:hAnsi="Times New Roman"/>
          <w:i/>
          <w:iCs/>
          <w:sz w:val="24"/>
          <w:szCs w:val="24"/>
          <w:lang w:val="en-US" w:eastAsia="en-GB"/>
        </w:rPr>
        <w:t xml:space="preserve">That new </w:t>
      </w:r>
      <w:r w:rsidR="00783FC2" w:rsidRPr="007D4016">
        <w:rPr>
          <w:rFonts w:ascii="Times New Roman" w:hAnsi="Times New Roman"/>
          <w:sz w:val="24"/>
          <w:szCs w:val="24"/>
          <w:lang w:val="en-US" w:eastAsia="en-GB"/>
        </w:rPr>
        <w:t xml:space="preserve">[private] </w:t>
      </w:r>
      <w:r w:rsidR="00783FC2" w:rsidRPr="007D4016">
        <w:rPr>
          <w:rFonts w:ascii="Times New Roman" w:hAnsi="Times New Roman"/>
          <w:i/>
          <w:iCs/>
          <w:sz w:val="24"/>
          <w:szCs w:val="24"/>
          <w:lang w:val="en-US" w:eastAsia="en-GB"/>
        </w:rPr>
        <w:t xml:space="preserve">institutions were established is not ground breaking. But it is that institutions were established that have reached into the domains of old public universities” </w:t>
      </w:r>
      <w:r w:rsidR="00783FC2" w:rsidRPr="007D4016">
        <w:rPr>
          <w:rFonts w:ascii="Times New Roman" w:hAnsi="Times New Roman"/>
          <w:sz w:val="24"/>
          <w:szCs w:val="24"/>
          <w:lang w:val="en-US" w:eastAsia="en-GB"/>
        </w:rPr>
        <w:t>(interview 46; Slovenia 10/04/2012)</w:t>
      </w:r>
      <w:r w:rsidR="00783FC2" w:rsidRPr="007D4016">
        <w:rPr>
          <w:rFonts w:ascii="Times New Roman" w:hAnsi="Times New Roman"/>
          <w:i/>
          <w:iCs/>
          <w:sz w:val="24"/>
          <w:szCs w:val="24"/>
          <w:lang w:val="en-US" w:eastAsia="en-GB"/>
        </w:rPr>
        <w:t xml:space="preserve">. </w:t>
      </w:r>
      <w:r w:rsidR="00CF1940" w:rsidRPr="007D4016">
        <w:rPr>
          <w:rFonts w:ascii="Times New Roman" w:hAnsi="Times New Roman"/>
          <w:sz w:val="24"/>
          <w:szCs w:val="24"/>
          <w:lang w:val="en-US" w:eastAsia="en-GB"/>
        </w:rPr>
        <w:t>S</w:t>
      </w:r>
      <w:r>
        <w:rPr>
          <w:rFonts w:ascii="Times New Roman" w:hAnsi="Times New Roman"/>
          <w:sz w:val="24"/>
          <w:szCs w:val="24"/>
          <w:lang w:val="en-US" w:eastAsia="en-GB"/>
        </w:rPr>
        <w:t>lovenia presents one of</w:t>
      </w:r>
      <w:r w:rsidR="00CF1940" w:rsidRPr="007D4016">
        <w:rPr>
          <w:rFonts w:ascii="Times New Roman" w:hAnsi="Times New Roman"/>
          <w:sz w:val="24"/>
          <w:szCs w:val="24"/>
          <w:lang w:val="en-US" w:eastAsia="en-GB"/>
        </w:rPr>
        <w:t xml:space="preserve"> the </w:t>
      </w:r>
      <w:r w:rsidR="000118FD" w:rsidRPr="007D4016">
        <w:rPr>
          <w:rFonts w:ascii="Times New Roman" w:hAnsi="Times New Roman"/>
          <w:sz w:val="24"/>
          <w:szCs w:val="24"/>
          <w:lang w:val="en-US" w:eastAsia="en-GB"/>
        </w:rPr>
        <w:t>extreme case</w:t>
      </w:r>
      <w:r>
        <w:rPr>
          <w:rFonts w:ascii="Times New Roman" w:hAnsi="Times New Roman"/>
          <w:sz w:val="24"/>
          <w:szCs w:val="24"/>
          <w:lang w:val="en-US" w:eastAsia="en-GB"/>
        </w:rPr>
        <w:t>s</w:t>
      </w:r>
      <w:r w:rsidR="000118FD" w:rsidRPr="007D4016">
        <w:rPr>
          <w:rFonts w:ascii="Times New Roman" w:hAnsi="Times New Roman"/>
          <w:sz w:val="24"/>
          <w:szCs w:val="24"/>
          <w:lang w:val="en-US" w:eastAsia="en-GB"/>
        </w:rPr>
        <w:t>,</w:t>
      </w:r>
      <w:r>
        <w:rPr>
          <w:rFonts w:ascii="Times New Roman" w:hAnsi="Times New Roman"/>
          <w:sz w:val="24"/>
          <w:szCs w:val="24"/>
          <w:lang w:val="en-US" w:eastAsia="en-GB"/>
        </w:rPr>
        <w:t xml:space="preserve"> legally allowing </w:t>
      </w:r>
      <w:r w:rsidR="002847B5" w:rsidRPr="007D4016">
        <w:rPr>
          <w:rFonts w:ascii="Times New Roman" w:hAnsi="Times New Roman"/>
          <w:sz w:val="24"/>
          <w:szCs w:val="24"/>
          <w:lang w:val="en-US" w:eastAsia="en-GB"/>
        </w:rPr>
        <w:t xml:space="preserve">private institutions under certain conditions </w:t>
      </w:r>
      <w:r>
        <w:rPr>
          <w:rFonts w:ascii="Times New Roman" w:hAnsi="Times New Roman"/>
          <w:sz w:val="24"/>
          <w:szCs w:val="24"/>
          <w:lang w:val="en-US" w:eastAsia="en-GB"/>
        </w:rPr>
        <w:t xml:space="preserve">to </w:t>
      </w:r>
      <w:r w:rsidR="002847B5" w:rsidRPr="007D4016">
        <w:rPr>
          <w:rFonts w:ascii="Times New Roman" w:hAnsi="Times New Roman"/>
          <w:sz w:val="24"/>
          <w:szCs w:val="24"/>
          <w:lang w:val="en-US" w:eastAsia="en-GB"/>
        </w:rPr>
        <w:t xml:space="preserve">apply for public subsidies </w:t>
      </w:r>
      <w:r w:rsidR="00B512E5" w:rsidRPr="007D4016">
        <w:rPr>
          <w:rFonts w:ascii="Times New Roman" w:hAnsi="Times New Roman"/>
          <w:sz w:val="24"/>
          <w:szCs w:val="24"/>
          <w:lang w:val="en-US" w:eastAsia="en-GB"/>
        </w:rPr>
        <w:t>to conduct study programs</w:t>
      </w:r>
      <w:r w:rsidR="000118FD" w:rsidRPr="007D4016">
        <w:rPr>
          <w:rFonts w:ascii="Times New Roman" w:hAnsi="Times New Roman"/>
          <w:sz w:val="24"/>
          <w:szCs w:val="24"/>
          <w:lang w:val="en-US" w:eastAsia="en-GB"/>
        </w:rPr>
        <w:t xml:space="preserve">. </w:t>
      </w:r>
      <w:r w:rsidR="002847B5" w:rsidRPr="007D4016">
        <w:rPr>
          <w:rFonts w:ascii="Times New Roman" w:hAnsi="Times New Roman"/>
          <w:sz w:val="24"/>
          <w:szCs w:val="24"/>
          <w:lang w:val="en-US" w:eastAsia="en-GB"/>
        </w:rPr>
        <w:t xml:space="preserve">This means that full-time undergraduate students enrolled </w:t>
      </w:r>
      <w:r>
        <w:rPr>
          <w:rFonts w:ascii="Times New Roman" w:hAnsi="Times New Roman"/>
          <w:sz w:val="24"/>
          <w:szCs w:val="24"/>
          <w:lang w:val="en-US" w:eastAsia="en-GB"/>
        </w:rPr>
        <w:t>in</w:t>
      </w:r>
      <w:r w:rsidR="002847B5" w:rsidRPr="007D4016">
        <w:rPr>
          <w:rFonts w:ascii="Times New Roman" w:hAnsi="Times New Roman"/>
          <w:sz w:val="24"/>
          <w:szCs w:val="24"/>
          <w:lang w:val="en-US" w:eastAsia="en-GB"/>
        </w:rPr>
        <w:t xml:space="preserve"> private institutions with a “concession contract” </w:t>
      </w:r>
      <w:r w:rsidR="00CF1940" w:rsidRPr="007D4016">
        <w:rPr>
          <w:rFonts w:ascii="Times New Roman" w:hAnsi="Times New Roman"/>
          <w:sz w:val="24"/>
          <w:szCs w:val="24"/>
          <w:lang w:val="en-US" w:eastAsia="en-GB"/>
        </w:rPr>
        <w:t xml:space="preserve">from the state do not pay fees. </w:t>
      </w:r>
      <w:r w:rsidR="002847B5" w:rsidRPr="007D4016">
        <w:rPr>
          <w:rFonts w:ascii="Times New Roman" w:hAnsi="Times New Roman"/>
          <w:sz w:val="24"/>
          <w:szCs w:val="24"/>
          <w:lang w:val="en-US" w:eastAsia="en-GB"/>
        </w:rPr>
        <w:t>To illustrate</w:t>
      </w:r>
      <w:r>
        <w:rPr>
          <w:rFonts w:ascii="Times New Roman" w:hAnsi="Times New Roman"/>
          <w:sz w:val="24"/>
          <w:szCs w:val="24"/>
          <w:lang w:val="en-US" w:eastAsia="en-GB"/>
        </w:rPr>
        <w:t>,</w:t>
      </w:r>
      <w:r w:rsidR="002847B5" w:rsidRPr="007D4016">
        <w:rPr>
          <w:rFonts w:ascii="Times New Roman" w:hAnsi="Times New Roman"/>
          <w:sz w:val="24"/>
          <w:szCs w:val="24"/>
          <w:lang w:val="en-US" w:eastAsia="en-GB"/>
        </w:rPr>
        <w:t xml:space="preserve"> in the academic year 2010/11</w:t>
      </w:r>
      <w:r w:rsidR="002A05B9" w:rsidRPr="007D4016">
        <w:rPr>
          <w:rFonts w:ascii="Times New Roman" w:hAnsi="Times New Roman"/>
          <w:sz w:val="24"/>
          <w:szCs w:val="24"/>
          <w:lang w:val="en-US" w:eastAsia="en-GB"/>
        </w:rPr>
        <w:t>, public</w:t>
      </w:r>
      <w:r w:rsidR="002847B5" w:rsidRPr="007D4016">
        <w:rPr>
          <w:rFonts w:ascii="Times New Roman" w:hAnsi="Times New Roman"/>
          <w:sz w:val="24"/>
          <w:szCs w:val="24"/>
          <w:lang w:val="en-US" w:eastAsia="en-GB"/>
        </w:rPr>
        <w:t xml:space="preserve"> subsidies</w:t>
      </w:r>
      <w:r w:rsidR="002A05B9" w:rsidRPr="007D4016">
        <w:rPr>
          <w:rFonts w:ascii="Times New Roman" w:hAnsi="Times New Roman"/>
          <w:sz w:val="24"/>
          <w:szCs w:val="24"/>
          <w:lang w:val="en-US" w:eastAsia="en-GB"/>
        </w:rPr>
        <w:t xml:space="preserve"> for study programs</w:t>
      </w:r>
      <w:r w:rsidR="002847B5" w:rsidRPr="007D4016">
        <w:rPr>
          <w:rFonts w:ascii="Times New Roman" w:hAnsi="Times New Roman"/>
          <w:sz w:val="24"/>
          <w:szCs w:val="24"/>
          <w:lang w:val="en-US" w:eastAsia="en-GB"/>
        </w:rPr>
        <w:t xml:space="preserve"> were obtained by the </w:t>
      </w:r>
      <w:r w:rsidR="002A05B9" w:rsidRPr="007D4016">
        <w:rPr>
          <w:rFonts w:ascii="Times New Roman" w:hAnsi="Times New Roman"/>
          <w:sz w:val="24"/>
          <w:szCs w:val="24"/>
          <w:lang w:val="en-US" w:eastAsia="en-GB"/>
        </w:rPr>
        <w:t>(</w:t>
      </w:r>
      <w:r w:rsidR="002847B5" w:rsidRPr="007D4016">
        <w:rPr>
          <w:rFonts w:ascii="Times New Roman" w:hAnsi="Times New Roman"/>
          <w:sz w:val="24"/>
          <w:szCs w:val="24"/>
          <w:lang w:val="en-US" w:eastAsia="en-GB"/>
        </w:rPr>
        <w:t>only</w:t>
      </w:r>
      <w:r w:rsidR="002A05B9" w:rsidRPr="007D4016">
        <w:rPr>
          <w:rFonts w:ascii="Times New Roman" w:hAnsi="Times New Roman"/>
          <w:sz w:val="24"/>
          <w:szCs w:val="24"/>
          <w:lang w:val="en-US" w:eastAsia="en-GB"/>
        </w:rPr>
        <w:t>)</w:t>
      </w:r>
      <w:r w:rsidR="002847B5" w:rsidRPr="007D4016">
        <w:rPr>
          <w:rFonts w:ascii="Times New Roman" w:hAnsi="Times New Roman"/>
          <w:sz w:val="24"/>
          <w:szCs w:val="24"/>
          <w:lang w:val="en-US" w:eastAsia="en-GB"/>
        </w:rPr>
        <w:t xml:space="preserve"> private university - U</w:t>
      </w:r>
      <w:r w:rsidR="002A05B9" w:rsidRPr="007D4016">
        <w:rPr>
          <w:rFonts w:ascii="Times New Roman" w:hAnsi="Times New Roman"/>
          <w:sz w:val="24"/>
          <w:szCs w:val="24"/>
          <w:lang w:val="en-US" w:eastAsia="en-GB"/>
        </w:rPr>
        <w:t xml:space="preserve">niversity of Nova Gorica </w:t>
      </w:r>
      <w:r w:rsidR="00C50AD0" w:rsidRPr="007D4016">
        <w:rPr>
          <w:rFonts w:ascii="Times New Roman" w:hAnsi="Times New Roman"/>
          <w:sz w:val="24"/>
          <w:szCs w:val="24"/>
          <w:lang w:val="en-US" w:eastAsia="en-GB"/>
        </w:rPr>
        <w:t xml:space="preserve">- </w:t>
      </w:r>
      <w:r w:rsidR="002A05B9" w:rsidRPr="007D4016">
        <w:rPr>
          <w:rFonts w:ascii="Times New Roman" w:hAnsi="Times New Roman"/>
          <w:sz w:val="24"/>
          <w:szCs w:val="24"/>
          <w:lang w:val="en-US" w:eastAsia="en-GB"/>
        </w:rPr>
        <w:t xml:space="preserve">and </w:t>
      </w:r>
      <w:r w:rsidR="002847B5" w:rsidRPr="007D4016">
        <w:rPr>
          <w:rFonts w:ascii="Times New Roman" w:hAnsi="Times New Roman"/>
          <w:sz w:val="24"/>
          <w:szCs w:val="24"/>
          <w:lang w:val="en-US" w:eastAsia="en-GB"/>
        </w:rPr>
        <w:t xml:space="preserve">12 out of 27 </w:t>
      </w:r>
      <w:r w:rsidR="00F15F1E" w:rsidRPr="007D4016">
        <w:rPr>
          <w:rFonts w:ascii="Times New Roman" w:hAnsi="Times New Roman"/>
          <w:sz w:val="24"/>
          <w:szCs w:val="24"/>
          <w:lang w:val="en-US" w:eastAsia="en-GB"/>
        </w:rPr>
        <w:t xml:space="preserve">other </w:t>
      </w:r>
      <w:r w:rsidR="002847B5" w:rsidRPr="007D4016">
        <w:rPr>
          <w:rFonts w:ascii="Times New Roman" w:hAnsi="Times New Roman"/>
          <w:sz w:val="24"/>
          <w:szCs w:val="24"/>
          <w:lang w:val="en-US" w:eastAsia="en-GB"/>
        </w:rPr>
        <w:t>private higher education</w:t>
      </w:r>
      <w:r>
        <w:rPr>
          <w:rFonts w:ascii="Times New Roman" w:hAnsi="Times New Roman"/>
          <w:sz w:val="24"/>
          <w:szCs w:val="24"/>
          <w:lang w:val="en-US" w:eastAsia="en-GB"/>
        </w:rPr>
        <w:t xml:space="preserve"> </w:t>
      </w:r>
      <w:r w:rsidR="002847B5" w:rsidRPr="007D4016">
        <w:rPr>
          <w:rFonts w:ascii="Times New Roman" w:hAnsi="Times New Roman"/>
          <w:sz w:val="24"/>
          <w:szCs w:val="24"/>
          <w:lang w:val="en-US" w:eastAsia="en-GB"/>
        </w:rPr>
        <w:t>institutions</w:t>
      </w:r>
      <w:r w:rsidR="00F15F1E" w:rsidRPr="007D4016">
        <w:rPr>
          <w:rFonts w:ascii="Times New Roman" w:hAnsi="Times New Roman"/>
          <w:sz w:val="24"/>
          <w:szCs w:val="24"/>
          <w:lang w:val="en-US" w:eastAsia="en-GB"/>
        </w:rPr>
        <w:t xml:space="preserve"> (Slovenia, 2011a). I</w:t>
      </w:r>
      <w:r w:rsidR="002847B5" w:rsidRPr="007D4016">
        <w:rPr>
          <w:rFonts w:ascii="Times New Roman" w:hAnsi="Times New Roman"/>
          <w:sz w:val="24"/>
          <w:szCs w:val="24"/>
          <w:lang w:val="en-US" w:eastAsia="en-GB"/>
        </w:rPr>
        <w:t xml:space="preserve">n total, 89% of students </w:t>
      </w:r>
      <w:r w:rsidR="00F15F1E" w:rsidRPr="007D4016">
        <w:rPr>
          <w:rFonts w:ascii="Times New Roman" w:hAnsi="Times New Roman"/>
          <w:sz w:val="24"/>
          <w:szCs w:val="24"/>
          <w:lang w:val="en-US" w:eastAsia="en-GB"/>
        </w:rPr>
        <w:t>in the first and second degree cycle</w:t>
      </w:r>
      <w:r w:rsidR="002847B5" w:rsidRPr="007D4016">
        <w:rPr>
          <w:rFonts w:ascii="Times New Roman" w:hAnsi="Times New Roman"/>
          <w:sz w:val="24"/>
          <w:szCs w:val="24"/>
          <w:lang w:val="en-US" w:eastAsia="en-GB"/>
        </w:rPr>
        <w:t xml:space="preserve"> were enrolled </w:t>
      </w:r>
      <w:r>
        <w:rPr>
          <w:rFonts w:ascii="Times New Roman" w:hAnsi="Times New Roman"/>
          <w:sz w:val="24"/>
          <w:szCs w:val="24"/>
          <w:lang w:val="en-US" w:eastAsia="en-GB"/>
        </w:rPr>
        <w:t>in</w:t>
      </w:r>
      <w:r w:rsidR="002847B5" w:rsidRPr="007D4016">
        <w:rPr>
          <w:rFonts w:ascii="Times New Roman" w:hAnsi="Times New Roman"/>
          <w:sz w:val="24"/>
          <w:szCs w:val="24"/>
          <w:lang w:val="en-US" w:eastAsia="en-GB"/>
        </w:rPr>
        <w:t xml:space="preserve"> public institutions, 5% </w:t>
      </w:r>
      <w:r>
        <w:rPr>
          <w:rFonts w:ascii="Times New Roman" w:hAnsi="Times New Roman"/>
          <w:sz w:val="24"/>
          <w:szCs w:val="24"/>
          <w:lang w:val="en-US" w:eastAsia="en-GB"/>
        </w:rPr>
        <w:t>in</w:t>
      </w:r>
      <w:r w:rsidR="002847B5" w:rsidRPr="007D4016">
        <w:rPr>
          <w:rFonts w:ascii="Times New Roman" w:hAnsi="Times New Roman"/>
          <w:sz w:val="24"/>
          <w:szCs w:val="24"/>
          <w:lang w:val="en-US" w:eastAsia="en-GB"/>
        </w:rPr>
        <w:t xml:space="preserve"> private institutions in state-</w:t>
      </w:r>
      <w:r w:rsidR="007D4016" w:rsidRPr="007D4016">
        <w:rPr>
          <w:rFonts w:ascii="Times New Roman" w:hAnsi="Times New Roman"/>
          <w:sz w:val="24"/>
          <w:szCs w:val="24"/>
          <w:lang w:val="en-US" w:eastAsia="en-GB"/>
        </w:rPr>
        <w:t>subsidized</w:t>
      </w:r>
      <w:r w:rsidR="002847B5" w:rsidRPr="007D4016">
        <w:rPr>
          <w:rFonts w:ascii="Times New Roman" w:hAnsi="Times New Roman"/>
          <w:sz w:val="24"/>
          <w:szCs w:val="24"/>
          <w:lang w:val="en-US" w:eastAsia="en-GB"/>
        </w:rPr>
        <w:t xml:space="preserve"> study </w:t>
      </w:r>
      <w:r>
        <w:rPr>
          <w:rFonts w:ascii="Times New Roman" w:hAnsi="Times New Roman"/>
          <w:sz w:val="24"/>
          <w:szCs w:val="24"/>
          <w:lang w:val="en-US" w:eastAsia="en-GB"/>
        </w:rPr>
        <w:t>program</w:t>
      </w:r>
      <w:r w:rsidR="002847B5" w:rsidRPr="007D4016">
        <w:rPr>
          <w:rFonts w:ascii="Times New Roman" w:hAnsi="Times New Roman"/>
          <w:sz w:val="24"/>
          <w:szCs w:val="24"/>
          <w:lang w:val="en-US" w:eastAsia="en-GB"/>
        </w:rPr>
        <w:t>s</w:t>
      </w:r>
      <w:r>
        <w:rPr>
          <w:rFonts w:ascii="Times New Roman" w:hAnsi="Times New Roman"/>
          <w:sz w:val="24"/>
          <w:szCs w:val="24"/>
          <w:lang w:val="en-US" w:eastAsia="en-GB"/>
        </w:rPr>
        <w:t>,</w:t>
      </w:r>
      <w:r w:rsidR="002847B5" w:rsidRPr="007D4016">
        <w:rPr>
          <w:rFonts w:ascii="Times New Roman" w:hAnsi="Times New Roman"/>
          <w:sz w:val="24"/>
          <w:szCs w:val="24"/>
          <w:lang w:val="en-US" w:eastAsia="en-GB"/>
        </w:rPr>
        <w:t xml:space="preserve"> and 6% </w:t>
      </w:r>
      <w:r>
        <w:rPr>
          <w:rFonts w:ascii="Times New Roman" w:hAnsi="Times New Roman"/>
          <w:sz w:val="24"/>
          <w:szCs w:val="24"/>
          <w:lang w:val="en-US" w:eastAsia="en-GB"/>
        </w:rPr>
        <w:t>in</w:t>
      </w:r>
      <w:r w:rsidR="002847B5" w:rsidRPr="007D4016">
        <w:rPr>
          <w:rFonts w:ascii="Times New Roman" w:hAnsi="Times New Roman"/>
          <w:sz w:val="24"/>
          <w:szCs w:val="24"/>
          <w:lang w:val="en-US" w:eastAsia="en-GB"/>
        </w:rPr>
        <w:t xml:space="preserve"> private institutions in programs that were not subsidi</w:t>
      </w:r>
      <w:r>
        <w:rPr>
          <w:rFonts w:ascii="Times New Roman" w:hAnsi="Times New Roman"/>
          <w:sz w:val="24"/>
          <w:szCs w:val="24"/>
          <w:lang w:val="en-US" w:eastAsia="en-GB"/>
        </w:rPr>
        <w:t>z</w:t>
      </w:r>
      <w:r w:rsidR="002847B5" w:rsidRPr="007D4016">
        <w:rPr>
          <w:rFonts w:ascii="Times New Roman" w:hAnsi="Times New Roman"/>
          <w:sz w:val="24"/>
          <w:szCs w:val="24"/>
          <w:lang w:val="en-US" w:eastAsia="en-GB"/>
        </w:rPr>
        <w:t>e</w:t>
      </w:r>
      <w:r>
        <w:rPr>
          <w:rFonts w:ascii="Times New Roman" w:hAnsi="Times New Roman"/>
          <w:sz w:val="24"/>
          <w:szCs w:val="24"/>
          <w:lang w:val="en-US" w:eastAsia="en-GB"/>
        </w:rPr>
        <w:t>d</w:t>
      </w:r>
      <w:r w:rsidR="002847B5" w:rsidRPr="007D4016">
        <w:rPr>
          <w:rFonts w:ascii="Times New Roman" w:hAnsi="Times New Roman"/>
          <w:sz w:val="24"/>
          <w:szCs w:val="24"/>
          <w:lang w:val="en-US" w:eastAsia="en-GB"/>
        </w:rPr>
        <w:t xml:space="preserve"> by the state (Slovenia, 201</w:t>
      </w:r>
      <w:r w:rsidR="00F15F1E" w:rsidRPr="007D4016">
        <w:rPr>
          <w:rFonts w:ascii="Times New Roman" w:hAnsi="Times New Roman"/>
          <w:sz w:val="24"/>
          <w:szCs w:val="24"/>
          <w:lang w:val="en-US" w:eastAsia="en-GB"/>
        </w:rPr>
        <w:t>1a</w:t>
      </w:r>
      <w:r w:rsidR="002847B5" w:rsidRPr="007D4016">
        <w:rPr>
          <w:rFonts w:ascii="Times New Roman" w:hAnsi="Times New Roman"/>
          <w:sz w:val="24"/>
          <w:szCs w:val="24"/>
          <w:lang w:val="en-US" w:eastAsia="en-GB"/>
        </w:rPr>
        <w:t xml:space="preserve">). </w:t>
      </w:r>
      <w:r w:rsidR="00974973">
        <w:rPr>
          <w:rFonts w:ascii="Times New Roman" w:hAnsi="Times New Roman"/>
          <w:sz w:val="24"/>
          <w:szCs w:val="24"/>
          <w:lang w:val="en-US" w:eastAsia="en-GB"/>
        </w:rPr>
        <w:t>In</w:t>
      </w:r>
      <w:r w:rsidR="00B512E5" w:rsidRPr="007D4016">
        <w:rPr>
          <w:rFonts w:ascii="Times New Roman" w:hAnsi="Times New Roman"/>
          <w:sz w:val="24"/>
          <w:szCs w:val="24"/>
          <w:lang w:val="en-US" w:eastAsia="en-GB"/>
        </w:rPr>
        <w:t xml:space="preserve"> a different </w:t>
      </w:r>
      <w:r w:rsidR="00974973">
        <w:rPr>
          <w:rFonts w:ascii="Times New Roman" w:hAnsi="Times New Roman"/>
          <w:sz w:val="24"/>
          <w:szCs w:val="24"/>
          <w:lang w:val="en-US" w:eastAsia="en-GB"/>
        </w:rPr>
        <w:t xml:space="preserve">example </w:t>
      </w:r>
      <w:r w:rsidR="00783FC2" w:rsidRPr="007D4016">
        <w:rPr>
          <w:rFonts w:ascii="Times New Roman" w:hAnsi="Times New Roman"/>
          <w:sz w:val="24"/>
          <w:szCs w:val="24"/>
          <w:lang w:val="en-US" w:eastAsia="en-GB"/>
        </w:rPr>
        <w:t>from the same country</w:t>
      </w:r>
      <w:r w:rsidR="00974973">
        <w:rPr>
          <w:rFonts w:ascii="Times New Roman" w:hAnsi="Times New Roman"/>
          <w:sz w:val="24"/>
          <w:szCs w:val="24"/>
          <w:lang w:val="en-US" w:eastAsia="en-GB"/>
        </w:rPr>
        <w:t xml:space="preserve">, </w:t>
      </w:r>
      <w:r w:rsidR="00974973" w:rsidRPr="007D4016">
        <w:rPr>
          <w:rFonts w:ascii="Times New Roman" w:hAnsi="Times New Roman"/>
          <w:sz w:val="24"/>
          <w:szCs w:val="24"/>
          <w:lang w:val="en-US" w:eastAsia="en-GB"/>
        </w:rPr>
        <w:t>the European Law Faculty in Nova Gorica (established 2005)</w:t>
      </w:r>
      <w:r w:rsidR="00974973">
        <w:rPr>
          <w:rFonts w:ascii="Times New Roman" w:hAnsi="Times New Roman"/>
          <w:sz w:val="24"/>
          <w:szCs w:val="24"/>
          <w:lang w:val="en-US" w:eastAsia="en-GB"/>
        </w:rPr>
        <w:t>, which is</w:t>
      </w:r>
      <w:r w:rsidR="000118FD" w:rsidRPr="007D4016">
        <w:rPr>
          <w:rFonts w:ascii="Times New Roman" w:hAnsi="Times New Roman"/>
          <w:sz w:val="24"/>
          <w:szCs w:val="24"/>
          <w:lang w:val="en-US" w:eastAsia="en-GB"/>
        </w:rPr>
        <w:t xml:space="preserve"> owned by three individuals and </w:t>
      </w:r>
      <w:r w:rsidR="00974973">
        <w:rPr>
          <w:rFonts w:ascii="Times New Roman" w:hAnsi="Times New Roman"/>
          <w:sz w:val="24"/>
          <w:szCs w:val="24"/>
          <w:lang w:val="en-US" w:eastAsia="en-GB"/>
        </w:rPr>
        <w:t xml:space="preserve">has </w:t>
      </w:r>
      <w:r w:rsidR="000118FD" w:rsidRPr="007D4016">
        <w:rPr>
          <w:rFonts w:ascii="Times New Roman" w:hAnsi="Times New Roman"/>
          <w:sz w:val="24"/>
          <w:szCs w:val="24"/>
          <w:lang w:val="en-US" w:eastAsia="en-GB"/>
        </w:rPr>
        <w:t>ten employees, receives 1.2 million EUR in annual state subsidies.</w:t>
      </w:r>
      <w:r w:rsidR="00974973">
        <w:rPr>
          <w:rFonts w:ascii="Times New Roman" w:hAnsi="Times New Roman"/>
          <w:sz w:val="24"/>
          <w:szCs w:val="24"/>
          <w:lang w:val="en-US" w:eastAsia="en-GB"/>
        </w:rPr>
        <w:t>[4]</w:t>
      </w:r>
      <w:r w:rsidR="000118FD" w:rsidRPr="007D4016">
        <w:rPr>
          <w:rFonts w:ascii="Times New Roman" w:hAnsi="Times New Roman"/>
          <w:sz w:val="24"/>
          <w:szCs w:val="24"/>
          <w:lang w:val="en-US" w:eastAsia="en-GB"/>
        </w:rPr>
        <w:t xml:space="preserve"> Similarly, </w:t>
      </w:r>
      <w:r w:rsidR="00C50AD0" w:rsidRPr="007D4016">
        <w:rPr>
          <w:rFonts w:ascii="Times New Roman" w:hAnsi="Times New Roman"/>
          <w:sz w:val="24"/>
          <w:szCs w:val="24"/>
          <w:lang w:val="en-US" w:eastAsia="en-GB"/>
        </w:rPr>
        <w:t xml:space="preserve">the </w:t>
      </w:r>
      <w:r w:rsidR="000118FD" w:rsidRPr="007D4016">
        <w:rPr>
          <w:rFonts w:ascii="Times New Roman" w:hAnsi="Times New Roman"/>
          <w:sz w:val="24"/>
          <w:szCs w:val="24"/>
          <w:lang w:val="en-US" w:eastAsia="en-GB"/>
        </w:rPr>
        <w:t>Faculty for Government and European Studies (</w:t>
      </w:r>
      <w:r w:rsidR="005B71AE" w:rsidRPr="007D4016">
        <w:rPr>
          <w:rFonts w:ascii="Times New Roman" w:hAnsi="Times New Roman"/>
          <w:sz w:val="24"/>
          <w:szCs w:val="24"/>
          <w:lang w:val="en-US" w:eastAsia="en-GB"/>
        </w:rPr>
        <w:t>established 2000</w:t>
      </w:r>
      <w:r w:rsidR="000118FD" w:rsidRPr="007D4016">
        <w:rPr>
          <w:rFonts w:ascii="Times New Roman" w:hAnsi="Times New Roman"/>
          <w:sz w:val="24"/>
          <w:szCs w:val="24"/>
          <w:lang w:val="en-US" w:eastAsia="en-GB"/>
        </w:rPr>
        <w:t xml:space="preserve">), </w:t>
      </w:r>
      <w:r w:rsidR="007C4AB2">
        <w:rPr>
          <w:rFonts w:ascii="Times New Roman" w:hAnsi="Times New Roman"/>
          <w:sz w:val="24"/>
          <w:szCs w:val="24"/>
          <w:lang w:val="en-US" w:eastAsia="en-GB"/>
        </w:rPr>
        <w:t xml:space="preserve">which is </w:t>
      </w:r>
      <w:r w:rsidR="000118FD" w:rsidRPr="007D4016">
        <w:rPr>
          <w:rFonts w:ascii="Times New Roman" w:hAnsi="Times New Roman"/>
          <w:sz w:val="24"/>
          <w:szCs w:val="24"/>
          <w:lang w:val="en-US" w:eastAsia="en-GB"/>
        </w:rPr>
        <w:t xml:space="preserve">owned by two individuals and </w:t>
      </w:r>
      <w:r w:rsidR="007C4AB2">
        <w:rPr>
          <w:rFonts w:ascii="Times New Roman" w:hAnsi="Times New Roman"/>
          <w:sz w:val="24"/>
          <w:szCs w:val="24"/>
          <w:lang w:val="en-US" w:eastAsia="en-GB"/>
        </w:rPr>
        <w:t>has six</w:t>
      </w:r>
      <w:r w:rsidR="000118FD" w:rsidRPr="007D4016">
        <w:rPr>
          <w:rFonts w:ascii="Times New Roman" w:hAnsi="Times New Roman"/>
          <w:sz w:val="24"/>
          <w:szCs w:val="24"/>
          <w:lang w:val="en-US" w:eastAsia="en-GB"/>
        </w:rPr>
        <w:t xml:space="preserve"> employees, receives 1 million EUR in annual state subsidies.</w:t>
      </w:r>
      <w:r w:rsidR="007C4AB2">
        <w:rPr>
          <w:rFonts w:ascii="Times New Roman" w:hAnsi="Times New Roman"/>
          <w:sz w:val="24"/>
          <w:szCs w:val="24"/>
          <w:lang w:val="en-US" w:eastAsia="en-GB"/>
        </w:rPr>
        <w:t>[5]</w:t>
      </w:r>
      <w:r w:rsidR="000118FD" w:rsidRPr="007D4016">
        <w:rPr>
          <w:rFonts w:ascii="Times New Roman" w:hAnsi="Times New Roman"/>
          <w:sz w:val="24"/>
          <w:szCs w:val="24"/>
          <w:lang w:val="en-US" w:eastAsia="en-GB"/>
        </w:rPr>
        <w:t xml:space="preserve"> The key condition </w:t>
      </w:r>
      <w:r w:rsidR="002A05B9" w:rsidRPr="007D4016">
        <w:rPr>
          <w:rFonts w:ascii="Times New Roman" w:hAnsi="Times New Roman"/>
          <w:sz w:val="24"/>
          <w:szCs w:val="24"/>
          <w:lang w:val="en-US" w:eastAsia="en-GB"/>
        </w:rPr>
        <w:t>for obtaining “</w:t>
      </w:r>
      <w:r w:rsidR="00783FC2" w:rsidRPr="007D4016">
        <w:rPr>
          <w:rFonts w:ascii="Times New Roman" w:hAnsi="Times New Roman"/>
          <w:sz w:val="24"/>
          <w:szCs w:val="24"/>
          <w:lang w:val="en-US" w:eastAsia="en-GB"/>
        </w:rPr>
        <w:t>concession</w:t>
      </w:r>
      <w:r w:rsidR="00C50AD0" w:rsidRPr="007D4016">
        <w:rPr>
          <w:rFonts w:ascii="Times New Roman" w:hAnsi="Times New Roman"/>
          <w:sz w:val="24"/>
          <w:szCs w:val="24"/>
          <w:lang w:val="en-US" w:eastAsia="en-GB"/>
        </w:rPr>
        <w:t>s</w:t>
      </w:r>
      <w:r w:rsidR="002A05B9" w:rsidRPr="007D4016">
        <w:rPr>
          <w:rFonts w:ascii="Times New Roman" w:hAnsi="Times New Roman"/>
          <w:sz w:val="24"/>
          <w:szCs w:val="24"/>
          <w:lang w:val="en-US" w:eastAsia="en-GB"/>
        </w:rPr>
        <w:t>”</w:t>
      </w:r>
      <w:r w:rsidR="00783FC2" w:rsidRPr="007D4016">
        <w:rPr>
          <w:rFonts w:ascii="Times New Roman" w:hAnsi="Times New Roman"/>
          <w:sz w:val="24"/>
          <w:szCs w:val="24"/>
          <w:lang w:val="en-US" w:eastAsia="en-GB"/>
        </w:rPr>
        <w:t xml:space="preserve"> </w:t>
      </w:r>
      <w:r w:rsidR="000118FD" w:rsidRPr="007D4016">
        <w:rPr>
          <w:rFonts w:ascii="Times New Roman" w:hAnsi="Times New Roman"/>
          <w:sz w:val="24"/>
          <w:szCs w:val="24"/>
          <w:lang w:val="en-US" w:eastAsia="en-GB"/>
        </w:rPr>
        <w:t>is that a private institution has been accredited at the national agency for quality assurance and that it provides higher education at the same standard (or at least not below it) as public institutions. Further criteria can be set by an open call (e.g.</w:t>
      </w:r>
      <w:r w:rsidR="007C4AB2">
        <w:rPr>
          <w:rFonts w:ascii="Times New Roman" w:hAnsi="Times New Roman"/>
          <w:sz w:val="24"/>
          <w:szCs w:val="24"/>
          <w:lang w:val="en-US" w:eastAsia="en-GB"/>
        </w:rPr>
        <w:t>,</w:t>
      </w:r>
      <w:r w:rsidR="000118FD" w:rsidRPr="007D4016">
        <w:rPr>
          <w:rFonts w:ascii="Times New Roman" w:hAnsi="Times New Roman"/>
          <w:sz w:val="24"/>
          <w:szCs w:val="24"/>
          <w:lang w:val="en-US" w:eastAsia="en-GB"/>
        </w:rPr>
        <w:t xml:space="preserve"> in what disciplines or study areas concessions shall be given) </w:t>
      </w:r>
      <w:r w:rsidR="00C7503D" w:rsidRPr="007D4016">
        <w:rPr>
          <w:rFonts w:ascii="Times New Roman" w:hAnsi="Times New Roman"/>
          <w:sz w:val="24"/>
          <w:szCs w:val="24"/>
          <w:lang w:val="en-US" w:eastAsia="en-GB"/>
        </w:rPr>
        <w:t xml:space="preserve">issued by the government, </w:t>
      </w:r>
      <w:r w:rsidR="000118FD" w:rsidRPr="007D4016">
        <w:rPr>
          <w:rFonts w:ascii="Times New Roman" w:hAnsi="Times New Roman"/>
          <w:sz w:val="24"/>
          <w:szCs w:val="24"/>
          <w:lang w:val="en-US" w:eastAsia="en-GB"/>
        </w:rPr>
        <w:t xml:space="preserve">and this </w:t>
      </w:r>
      <w:r w:rsidR="00C7503D" w:rsidRPr="007D4016">
        <w:rPr>
          <w:rFonts w:ascii="Times New Roman" w:hAnsi="Times New Roman"/>
          <w:sz w:val="24"/>
          <w:szCs w:val="24"/>
          <w:lang w:val="en-US" w:eastAsia="en-GB"/>
        </w:rPr>
        <w:t xml:space="preserve">option </w:t>
      </w:r>
      <w:r w:rsidR="000118FD" w:rsidRPr="007D4016">
        <w:rPr>
          <w:rFonts w:ascii="Times New Roman" w:hAnsi="Times New Roman"/>
          <w:sz w:val="24"/>
          <w:szCs w:val="24"/>
          <w:lang w:val="en-US" w:eastAsia="en-GB"/>
        </w:rPr>
        <w:t xml:space="preserve">opens possibilities for </w:t>
      </w:r>
      <w:r w:rsidR="00F15F1E" w:rsidRPr="007D4016">
        <w:rPr>
          <w:rFonts w:ascii="Times New Roman" w:hAnsi="Times New Roman"/>
          <w:sz w:val="24"/>
          <w:szCs w:val="24"/>
          <w:lang w:val="en-US" w:eastAsia="en-GB"/>
        </w:rPr>
        <w:t>lobbying</w:t>
      </w:r>
      <w:r w:rsidR="0040482E" w:rsidRPr="007D4016">
        <w:rPr>
          <w:rFonts w:ascii="Times New Roman" w:hAnsi="Times New Roman"/>
          <w:sz w:val="24"/>
          <w:szCs w:val="24"/>
          <w:lang w:val="en-US" w:eastAsia="en-GB"/>
        </w:rPr>
        <w:t xml:space="preserve"> from interested parties</w:t>
      </w:r>
      <w:r w:rsidR="000118FD" w:rsidRPr="007D4016">
        <w:rPr>
          <w:rFonts w:ascii="Times New Roman" w:hAnsi="Times New Roman"/>
          <w:sz w:val="24"/>
          <w:szCs w:val="24"/>
          <w:lang w:val="en-US" w:eastAsia="en-GB"/>
        </w:rPr>
        <w:t xml:space="preserve">. </w:t>
      </w:r>
    </w:p>
    <w:p w14:paraId="1BDC9C21" w14:textId="15E91F40" w:rsidR="0092585F" w:rsidRPr="007D4016" w:rsidRDefault="00A07904" w:rsidP="00691469">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Such legislative arrangement blurs the </w:t>
      </w:r>
      <w:r w:rsidR="00D56724" w:rsidRPr="007D4016">
        <w:rPr>
          <w:rFonts w:ascii="Times New Roman" w:hAnsi="Times New Roman"/>
          <w:sz w:val="24"/>
          <w:szCs w:val="24"/>
          <w:lang w:val="en-US" w:eastAsia="en-GB"/>
        </w:rPr>
        <w:t>boundaries between private and public sectors</w:t>
      </w:r>
      <w:r w:rsidR="005B51DC">
        <w:rPr>
          <w:rFonts w:ascii="Times New Roman" w:hAnsi="Times New Roman"/>
          <w:sz w:val="24"/>
          <w:szCs w:val="24"/>
          <w:lang w:val="en-US" w:eastAsia="en-GB"/>
        </w:rPr>
        <w:t>. I</w:t>
      </w:r>
      <w:r w:rsidRPr="007D4016">
        <w:rPr>
          <w:rFonts w:ascii="Times New Roman" w:hAnsi="Times New Roman"/>
          <w:sz w:val="24"/>
          <w:szCs w:val="24"/>
          <w:lang w:val="en-US" w:eastAsia="en-GB"/>
        </w:rPr>
        <w:t>t is not unique to Slovenia</w:t>
      </w:r>
      <w:r w:rsidR="002D20CB" w:rsidRPr="007D4016">
        <w:rPr>
          <w:rFonts w:ascii="Times New Roman" w:hAnsi="Times New Roman"/>
          <w:sz w:val="24"/>
          <w:szCs w:val="24"/>
          <w:lang w:val="en-US" w:eastAsia="en-GB"/>
        </w:rPr>
        <w:t xml:space="preserve">, although elsewhere in the region </w:t>
      </w:r>
      <w:r w:rsidR="00C50AD0" w:rsidRPr="007D4016">
        <w:rPr>
          <w:rFonts w:ascii="Times New Roman" w:hAnsi="Times New Roman"/>
          <w:sz w:val="24"/>
          <w:szCs w:val="24"/>
          <w:lang w:val="en-US" w:eastAsia="en-GB"/>
        </w:rPr>
        <w:t xml:space="preserve">it </w:t>
      </w:r>
      <w:r w:rsidR="002D20CB" w:rsidRPr="007D4016">
        <w:rPr>
          <w:rFonts w:ascii="Times New Roman" w:hAnsi="Times New Roman"/>
          <w:sz w:val="24"/>
          <w:szCs w:val="24"/>
          <w:lang w:val="en-US" w:eastAsia="en-GB"/>
        </w:rPr>
        <w:t>is much less widespread.</w:t>
      </w:r>
      <w:r w:rsidR="00C7503D" w:rsidRPr="007D4016">
        <w:rPr>
          <w:rFonts w:ascii="Times New Roman" w:hAnsi="Times New Roman"/>
          <w:sz w:val="24"/>
          <w:szCs w:val="24"/>
          <w:lang w:val="en-US" w:eastAsia="en-GB"/>
        </w:rPr>
        <w:t xml:space="preserve"> The Croatian Law (</w:t>
      </w:r>
      <w:r w:rsidR="00540293" w:rsidRPr="007D4016">
        <w:rPr>
          <w:rFonts w:ascii="Times New Roman" w:hAnsi="Times New Roman"/>
          <w:sz w:val="24"/>
          <w:szCs w:val="24"/>
          <w:lang w:val="en-US" w:eastAsia="en-GB"/>
        </w:rPr>
        <w:t xml:space="preserve">Croatia, 2003, Article 109) stipulates that private higher education institutions </w:t>
      </w:r>
      <w:r w:rsidR="00540293" w:rsidRPr="005B51DC">
        <w:rPr>
          <w:rFonts w:ascii="Times New Roman" w:hAnsi="Times New Roman"/>
          <w:sz w:val="24"/>
          <w:szCs w:val="24"/>
          <w:lang w:val="en-US" w:eastAsia="en-GB"/>
        </w:rPr>
        <w:t>“</w:t>
      </w:r>
      <w:r w:rsidR="004F53F6" w:rsidRPr="005B11DF">
        <w:rPr>
          <w:rFonts w:ascii="Times New Roman" w:hAnsi="Times New Roman"/>
          <w:sz w:val="24"/>
          <w:szCs w:val="24"/>
          <w:lang w:val="en-US" w:eastAsia="en-GB"/>
        </w:rPr>
        <w:t>may also be funded from the state budget according to the rules determined by the National Council, taking into consideration available funds and the quality of these higher education institutions, paying attention to whether their capacities correspond to the needs for education in the particular scientific, artistic or professional area.</w:t>
      </w:r>
      <w:r w:rsidR="00540293" w:rsidRPr="005B51DC">
        <w:rPr>
          <w:rFonts w:ascii="Times New Roman" w:hAnsi="Times New Roman"/>
          <w:sz w:val="24"/>
          <w:szCs w:val="24"/>
          <w:lang w:val="en-US" w:eastAsia="en-GB"/>
        </w:rPr>
        <w:t>”</w:t>
      </w:r>
      <w:r w:rsidR="00D56724" w:rsidRPr="007D4016">
        <w:rPr>
          <w:rFonts w:ascii="Times New Roman" w:hAnsi="Times New Roman"/>
          <w:sz w:val="24"/>
          <w:szCs w:val="24"/>
          <w:lang w:val="en-US"/>
        </w:rPr>
        <w:t xml:space="preserve"> </w:t>
      </w:r>
      <w:r w:rsidR="00D56724" w:rsidRPr="007D4016">
        <w:rPr>
          <w:rFonts w:ascii="Times New Roman" w:hAnsi="Times New Roman"/>
          <w:sz w:val="24"/>
          <w:szCs w:val="24"/>
          <w:lang w:val="en-US" w:eastAsia="en-GB"/>
        </w:rPr>
        <w:t>Kosovar higher education law similarly</w:t>
      </w:r>
      <w:r w:rsidR="005B51DC">
        <w:rPr>
          <w:rFonts w:ascii="Times New Roman" w:hAnsi="Times New Roman"/>
          <w:sz w:val="24"/>
          <w:szCs w:val="24"/>
          <w:lang w:val="en-US" w:eastAsia="en-GB"/>
        </w:rPr>
        <w:t xml:space="preserve"> states</w:t>
      </w:r>
      <w:r w:rsidR="00D56724" w:rsidRPr="007D4016">
        <w:rPr>
          <w:rFonts w:ascii="Times New Roman" w:hAnsi="Times New Roman"/>
          <w:sz w:val="24"/>
          <w:szCs w:val="24"/>
          <w:lang w:val="en-US" w:eastAsia="en-GB"/>
        </w:rPr>
        <w:t xml:space="preserve"> </w:t>
      </w:r>
      <w:r w:rsidR="00B01A80" w:rsidRPr="007D4016">
        <w:rPr>
          <w:rFonts w:ascii="Times New Roman" w:hAnsi="Times New Roman"/>
          <w:sz w:val="24"/>
          <w:szCs w:val="24"/>
          <w:lang w:val="en-US" w:eastAsia="en-GB"/>
        </w:rPr>
        <w:t>–</w:t>
      </w:r>
      <w:r w:rsidRPr="007D4016">
        <w:rPr>
          <w:rFonts w:ascii="Times New Roman" w:hAnsi="Times New Roman"/>
          <w:sz w:val="24"/>
          <w:szCs w:val="24"/>
          <w:lang w:val="en-US" w:eastAsia="en-GB"/>
        </w:rPr>
        <w:t xml:space="preserve"> </w:t>
      </w:r>
      <w:r w:rsidR="00D56724" w:rsidRPr="007D4016">
        <w:rPr>
          <w:rFonts w:ascii="Times New Roman" w:hAnsi="Times New Roman"/>
          <w:sz w:val="24"/>
          <w:szCs w:val="24"/>
          <w:lang w:val="en-US" w:eastAsia="en-GB"/>
        </w:rPr>
        <w:t xml:space="preserve">even if in more ambiguous terms </w:t>
      </w:r>
      <w:r w:rsidRPr="007D4016">
        <w:rPr>
          <w:rFonts w:ascii="Times New Roman" w:hAnsi="Times New Roman"/>
          <w:sz w:val="24"/>
          <w:szCs w:val="24"/>
          <w:lang w:val="en-US" w:eastAsia="en-GB"/>
        </w:rPr>
        <w:t xml:space="preserve">– </w:t>
      </w:r>
      <w:r w:rsidR="00D56724" w:rsidRPr="007D4016">
        <w:rPr>
          <w:rFonts w:ascii="Times New Roman" w:hAnsi="Times New Roman"/>
          <w:sz w:val="24"/>
          <w:szCs w:val="24"/>
          <w:lang w:val="en-US" w:eastAsia="en-GB"/>
        </w:rPr>
        <w:t xml:space="preserve">that </w:t>
      </w:r>
      <w:r w:rsidR="00D56724" w:rsidRPr="005B51DC">
        <w:rPr>
          <w:rFonts w:ascii="Times New Roman" w:hAnsi="Times New Roman"/>
          <w:sz w:val="24"/>
          <w:szCs w:val="24"/>
          <w:lang w:val="en-US" w:eastAsia="en-GB"/>
        </w:rPr>
        <w:t>“</w:t>
      </w:r>
      <w:r w:rsidR="004F53F6" w:rsidRPr="0014186D">
        <w:rPr>
          <w:rFonts w:ascii="Times New Roman" w:hAnsi="Times New Roman"/>
          <w:sz w:val="24"/>
          <w:szCs w:val="24"/>
          <w:lang w:val="en-US" w:eastAsia="en-GB"/>
        </w:rPr>
        <w:t>the Ministry may provide public funds to licensed and accredited private providers of higher education in support of the Ministry’s objectives.</w:t>
      </w:r>
      <w:r w:rsidR="00D56724" w:rsidRPr="005B51DC">
        <w:rPr>
          <w:rFonts w:ascii="Times New Roman" w:hAnsi="Times New Roman"/>
          <w:sz w:val="24"/>
          <w:szCs w:val="24"/>
          <w:lang w:val="en-US" w:eastAsia="en-GB"/>
        </w:rPr>
        <w:t>” and “</w:t>
      </w:r>
      <w:r w:rsidR="004F53F6" w:rsidRPr="0014186D">
        <w:rPr>
          <w:rFonts w:ascii="Times New Roman" w:hAnsi="Times New Roman"/>
          <w:sz w:val="24"/>
          <w:szCs w:val="24"/>
          <w:lang w:val="en-US" w:eastAsia="en-GB"/>
        </w:rPr>
        <w:t>Any private provider which accepts public funds shall be subject to the same accountability and audit requirements as public providers</w:t>
      </w:r>
      <w:r w:rsidR="00D56724" w:rsidRPr="005B51DC">
        <w:rPr>
          <w:rFonts w:ascii="Times New Roman" w:hAnsi="Times New Roman"/>
          <w:sz w:val="24"/>
          <w:szCs w:val="24"/>
          <w:lang w:val="en-US" w:eastAsia="en-GB"/>
        </w:rPr>
        <w:t>”</w:t>
      </w:r>
      <w:r w:rsidR="00D56724" w:rsidRPr="007D4016">
        <w:rPr>
          <w:rFonts w:ascii="Times New Roman" w:hAnsi="Times New Roman"/>
          <w:sz w:val="24"/>
          <w:szCs w:val="24"/>
          <w:lang w:val="en-US" w:eastAsia="en-GB"/>
        </w:rPr>
        <w:t xml:space="preserve"> (Kosovo, 2011, Article 20). </w:t>
      </w:r>
      <w:r w:rsidR="005B51DC">
        <w:rPr>
          <w:rFonts w:ascii="Times New Roman" w:hAnsi="Times New Roman"/>
          <w:sz w:val="24"/>
          <w:szCs w:val="24"/>
          <w:lang w:val="en-US" w:eastAsia="en-GB"/>
        </w:rPr>
        <w:t>I</w:t>
      </w:r>
      <w:r w:rsidR="005B11DF">
        <w:rPr>
          <w:rFonts w:ascii="Times New Roman" w:hAnsi="Times New Roman"/>
          <w:sz w:val="24"/>
          <w:szCs w:val="24"/>
          <w:lang w:val="en-US" w:eastAsia="en-GB"/>
        </w:rPr>
        <w:t>n Montenegro, the</w:t>
      </w:r>
      <w:r w:rsidR="000118FD" w:rsidRPr="007D4016">
        <w:rPr>
          <w:rFonts w:ascii="Times New Roman" w:hAnsi="Times New Roman"/>
          <w:sz w:val="24"/>
          <w:szCs w:val="24"/>
          <w:lang w:val="en-US" w:eastAsia="en-GB"/>
        </w:rPr>
        <w:t xml:space="preserve"> Higher Education Law (Montenegro, 2013, Article 69</w:t>
      </w:r>
      <w:r w:rsidR="00B512E5" w:rsidRPr="007D4016">
        <w:rPr>
          <w:rFonts w:ascii="Times New Roman" w:hAnsi="Times New Roman"/>
          <w:sz w:val="24"/>
          <w:szCs w:val="24"/>
          <w:lang w:val="en-US" w:eastAsia="en-GB"/>
        </w:rPr>
        <w:t>, 71</w:t>
      </w:r>
      <w:r w:rsidR="000118FD" w:rsidRPr="007D4016">
        <w:rPr>
          <w:rFonts w:ascii="Times New Roman" w:hAnsi="Times New Roman"/>
          <w:sz w:val="24"/>
          <w:szCs w:val="24"/>
          <w:lang w:val="en-US" w:eastAsia="en-GB"/>
        </w:rPr>
        <w:t xml:space="preserve">) introduced </w:t>
      </w:r>
      <w:r w:rsidR="00D56724" w:rsidRPr="007D4016">
        <w:rPr>
          <w:rFonts w:ascii="Times New Roman" w:hAnsi="Times New Roman"/>
          <w:sz w:val="24"/>
          <w:szCs w:val="24"/>
          <w:lang w:val="en-US" w:eastAsia="en-GB"/>
        </w:rPr>
        <w:t>a provision</w:t>
      </w:r>
      <w:r w:rsidR="000118FD" w:rsidRPr="007D4016">
        <w:rPr>
          <w:rFonts w:ascii="Times New Roman" w:hAnsi="Times New Roman"/>
          <w:sz w:val="24"/>
          <w:szCs w:val="24"/>
          <w:lang w:val="en-US" w:eastAsia="en-GB"/>
        </w:rPr>
        <w:t xml:space="preserve"> on granting “concessions” to private institutions (including foreign providers) for </w:t>
      </w:r>
      <w:r w:rsidR="00C50AD0" w:rsidRPr="007D4016">
        <w:rPr>
          <w:rFonts w:ascii="Times New Roman" w:hAnsi="Times New Roman"/>
          <w:sz w:val="24"/>
          <w:szCs w:val="24"/>
          <w:lang w:val="en-US" w:eastAsia="en-GB"/>
        </w:rPr>
        <w:t xml:space="preserve">the </w:t>
      </w:r>
      <w:r w:rsidR="000118FD" w:rsidRPr="007D4016">
        <w:rPr>
          <w:rFonts w:ascii="Times New Roman" w:hAnsi="Times New Roman"/>
          <w:sz w:val="24"/>
          <w:szCs w:val="24"/>
          <w:lang w:val="en-US" w:eastAsia="en-GB"/>
        </w:rPr>
        <w:t>conduct of education programs of “high public interest</w:t>
      </w:r>
      <w:r w:rsidR="005B51DC">
        <w:rPr>
          <w:rFonts w:ascii="Times New Roman" w:hAnsi="Times New Roman"/>
          <w:sz w:val="24"/>
          <w:szCs w:val="24"/>
          <w:lang w:val="en-US" w:eastAsia="en-GB"/>
        </w:rPr>
        <w:t>.</w:t>
      </w:r>
      <w:r w:rsidR="000118FD" w:rsidRPr="007D4016">
        <w:rPr>
          <w:rFonts w:ascii="Times New Roman" w:hAnsi="Times New Roman"/>
          <w:sz w:val="24"/>
          <w:szCs w:val="24"/>
          <w:lang w:val="en-US" w:eastAsia="en-GB"/>
        </w:rPr>
        <w:t xml:space="preserve">” </w:t>
      </w:r>
      <w:r w:rsidR="002A05B9" w:rsidRPr="007D4016">
        <w:rPr>
          <w:rFonts w:ascii="Times New Roman" w:hAnsi="Times New Roman"/>
          <w:sz w:val="24"/>
          <w:szCs w:val="24"/>
          <w:lang w:val="en-US" w:eastAsia="en-GB"/>
        </w:rPr>
        <w:t xml:space="preserve">However, </w:t>
      </w:r>
      <w:r w:rsidR="00C50AD0" w:rsidRPr="007D4016">
        <w:rPr>
          <w:rFonts w:ascii="Times New Roman" w:hAnsi="Times New Roman"/>
          <w:sz w:val="24"/>
          <w:szCs w:val="24"/>
          <w:lang w:val="en-US" w:eastAsia="en-GB"/>
        </w:rPr>
        <w:t xml:space="preserve">due to limited funds </w:t>
      </w:r>
      <w:r w:rsidR="002A05B9" w:rsidRPr="007D4016">
        <w:rPr>
          <w:rFonts w:ascii="Times New Roman" w:hAnsi="Times New Roman"/>
          <w:sz w:val="24"/>
          <w:szCs w:val="24"/>
          <w:lang w:val="en-US" w:eastAsia="en-GB"/>
        </w:rPr>
        <w:t>these provisions are not implemented in practice</w:t>
      </w:r>
      <w:r w:rsidR="00C50AD0" w:rsidRPr="007D4016">
        <w:rPr>
          <w:rFonts w:ascii="Times New Roman" w:hAnsi="Times New Roman"/>
          <w:sz w:val="24"/>
          <w:szCs w:val="24"/>
          <w:lang w:val="en-US" w:eastAsia="en-GB"/>
        </w:rPr>
        <w:t xml:space="preserve"> to any significant extent</w:t>
      </w:r>
      <w:r w:rsidR="002A05B9" w:rsidRPr="007D4016">
        <w:rPr>
          <w:rFonts w:ascii="Times New Roman" w:hAnsi="Times New Roman"/>
          <w:sz w:val="24"/>
          <w:szCs w:val="24"/>
          <w:lang w:val="en-US" w:eastAsia="en-GB"/>
        </w:rPr>
        <w:t xml:space="preserve">. </w:t>
      </w:r>
      <w:r w:rsidR="001872AE" w:rsidRPr="007D4016">
        <w:rPr>
          <w:rFonts w:ascii="Times New Roman" w:hAnsi="Times New Roman"/>
          <w:sz w:val="24"/>
          <w:szCs w:val="24"/>
          <w:lang w:val="en-US" w:eastAsia="en-GB"/>
        </w:rPr>
        <w:t xml:space="preserve">The </w:t>
      </w:r>
      <w:r w:rsidR="006A4549" w:rsidRPr="007D4016">
        <w:rPr>
          <w:rFonts w:ascii="Times New Roman" w:hAnsi="Times New Roman"/>
          <w:sz w:val="24"/>
          <w:szCs w:val="24"/>
          <w:lang w:val="en-US" w:eastAsia="en-GB"/>
        </w:rPr>
        <w:t xml:space="preserve">Albanian </w:t>
      </w:r>
      <w:r w:rsidR="00610B47" w:rsidRPr="007D4016">
        <w:rPr>
          <w:rFonts w:ascii="Times New Roman" w:hAnsi="Times New Roman"/>
          <w:sz w:val="24"/>
          <w:szCs w:val="24"/>
          <w:lang w:val="en-US" w:eastAsia="en-GB"/>
        </w:rPr>
        <w:t xml:space="preserve">Law on Higher Education </w:t>
      </w:r>
      <w:r w:rsidR="006A4549" w:rsidRPr="007D4016">
        <w:rPr>
          <w:rFonts w:ascii="Times New Roman" w:hAnsi="Times New Roman"/>
          <w:sz w:val="24"/>
          <w:szCs w:val="24"/>
          <w:lang w:val="en-US" w:eastAsia="en-GB"/>
        </w:rPr>
        <w:t>(20</w:t>
      </w:r>
      <w:r w:rsidR="00166222" w:rsidRPr="007D4016">
        <w:rPr>
          <w:rFonts w:ascii="Times New Roman" w:hAnsi="Times New Roman"/>
          <w:sz w:val="24"/>
          <w:szCs w:val="24"/>
          <w:lang w:val="en-US" w:eastAsia="en-GB"/>
        </w:rPr>
        <w:t>07</w:t>
      </w:r>
      <w:r w:rsidR="006A4549" w:rsidRPr="007D4016">
        <w:rPr>
          <w:rFonts w:ascii="Times New Roman" w:hAnsi="Times New Roman"/>
          <w:sz w:val="24"/>
          <w:szCs w:val="24"/>
          <w:lang w:val="en-US" w:eastAsia="en-GB"/>
        </w:rPr>
        <w:t xml:space="preserve">), </w:t>
      </w:r>
      <w:r w:rsidR="00610B47" w:rsidRPr="007D4016">
        <w:rPr>
          <w:rFonts w:ascii="Times New Roman" w:hAnsi="Times New Roman"/>
          <w:sz w:val="24"/>
          <w:szCs w:val="24"/>
          <w:lang w:val="en-US" w:eastAsia="en-GB"/>
        </w:rPr>
        <w:t xml:space="preserve">the </w:t>
      </w:r>
      <w:r w:rsidR="004475C5" w:rsidRPr="007D4016">
        <w:rPr>
          <w:rFonts w:ascii="Times New Roman" w:hAnsi="Times New Roman"/>
          <w:sz w:val="24"/>
          <w:szCs w:val="24"/>
          <w:lang w:val="en-US" w:eastAsia="en-GB"/>
        </w:rPr>
        <w:t>Serbia</w:t>
      </w:r>
      <w:r w:rsidR="00D27EEA" w:rsidRPr="007D4016">
        <w:rPr>
          <w:rFonts w:ascii="Times New Roman" w:hAnsi="Times New Roman"/>
          <w:sz w:val="24"/>
          <w:szCs w:val="24"/>
          <w:lang w:val="en-US" w:eastAsia="en-GB"/>
        </w:rPr>
        <w:t>n Law on Higher Education (2005)</w:t>
      </w:r>
      <w:r w:rsidR="00610B47" w:rsidRPr="007D4016">
        <w:rPr>
          <w:rFonts w:ascii="Times New Roman" w:hAnsi="Times New Roman"/>
          <w:sz w:val="24"/>
          <w:szCs w:val="24"/>
          <w:lang w:val="en-US" w:eastAsia="en-GB"/>
        </w:rPr>
        <w:t>,</w:t>
      </w:r>
      <w:r w:rsidR="004475C5" w:rsidRPr="007D4016">
        <w:rPr>
          <w:rFonts w:ascii="Times New Roman" w:hAnsi="Times New Roman"/>
          <w:sz w:val="24"/>
          <w:szCs w:val="24"/>
          <w:lang w:val="en-US" w:eastAsia="en-GB"/>
        </w:rPr>
        <w:t xml:space="preserve"> the </w:t>
      </w:r>
      <w:r w:rsidR="000A1E87" w:rsidRPr="007D4016">
        <w:rPr>
          <w:rFonts w:ascii="Times New Roman" w:hAnsi="Times New Roman"/>
          <w:sz w:val="24"/>
          <w:szCs w:val="24"/>
          <w:lang w:val="en-US" w:eastAsia="en-GB"/>
        </w:rPr>
        <w:t xml:space="preserve">Law on Higher Education of the Republic </w:t>
      </w:r>
      <w:r w:rsidR="00166222" w:rsidRPr="007D4016">
        <w:rPr>
          <w:rFonts w:ascii="Times New Roman" w:hAnsi="Times New Roman"/>
          <w:sz w:val="24"/>
          <w:szCs w:val="24"/>
          <w:lang w:val="en-US" w:eastAsia="en-GB"/>
        </w:rPr>
        <w:t>of Srpska (2010)</w:t>
      </w:r>
      <w:r w:rsidR="005B51DC">
        <w:rPr>
          <w:rFonts w:ascii="Times New Roman" w:hAnsi="Times New Roman"/>
          <w:sz w:val="24"/>
          <w:szCs w:val="24"/>
          <w:lang w:val="en-US" w:eastAsia="en-GB"/>
        </w:rPr>
        <w:t>,</w:t>
      </w:r>
      <w:r w:rsidR="000A1E87" w:rsidRPr="007D4016">
        <w:rPr>
          <w:rFonts w:ascii="Times New Roman" w:hAnsi="Times New Roman"/>
          <w:sz w:val="24"/>
          <w:szCs w:val="24"/>
          <w:lang w:val="en-US" w:eastAsia="en-GB"/>
        </w:rPr>
        <w:t xml:space="preserve"> and</w:t>
      </w:r>
      <w:r w:rsidR="00610B47" w:rsidRPr="007D4016">
        <w:rPr>
          <w:rFonts w:ascii="Times New Roman" w:hAnsi="Times New Roman"/>
          <w:sz w:val="24"/>
          <w:szCs w:val="24"/>
          <w:lang w:val="en-US" w:eastAsia="en-GB"/>
        </w:rPr>
        <w:t xml:space="preserve"> the</w:t>
      </w:r>
      <w:r w:rsidR="000A1E87" w:rsidRPr="007D4016">
        <w:rPr>
          <w:rFonts w:ascii="Times New Roman" w:hAnsi="Times New Roman"/>
          <w:sz w:val="24"/>
          <w:szCs w:val="24"/>
          <w:lang w:val="en-US" w:eastAsia="en-GB"/>
        </w:rPr>
        <w:t xml:space="preserve"> </w:t>
      </w:r>
      <w:r w:rsidR="004475C5" w:rsidRPr="007D4016">
        <w:rPr>
          <w:rFonts w:ascii="Times New Roman" w:hAnsi="Times New Roman"/>
          <w:sz w:val="24"/>
          <w:szCs w:val="24"/>
          <w:lang w:val="en-US" w:eastAsia="en-GB"/>
        </w:rPr>
        <w:t>Framework Law for Bosnia and Herzegovina</w:t>
      </w:r>
      <w:r w:rsidR="00D27EEA" w:rsidRPr="007D4016">
        <w:rPr>
          <w:rFonts w:ascii="Times New Roman" w:hAnsi="Times New Roman"/>
          <w:sz w:val="24"/>
          <w:szCs w:val="24"/>
          <w:lang w:val="en-US" w:eastAsia="en-GB"/>
        </w:rPr>
        <w:t xml:space="preserve"> (2007) </w:t>
      </w:r>
      <w:r w:rsidR="00D56724" w:rsidRPr="007D4016">
        <w:rPr>
          <w:rFonts w:ascii="Times New Roman" w:hAnsi="Times New Roman"/>
          <w:sz w:val="24"/>
          <w:szCs w:val="24"/>
          <w:lang w:val="en-US" w:eastAsia="en-GB"/>
        </w:rPr>
        <w:t>do not legislate on this issue</w:t>
      </w:r>
      <w:r w:rsidR="006A4549" w:rsidRPr="007D4016">
        <w:rPr>
          <w:rFonts w:ascii="Times New Roman" w:hAnsi="Times New Roman"/>
          <w:sz w:val="24"/>
          <w:szCs w:val="24"/>
          <w:lang w:val="en-US" w:eastAsia="en-GB"/>
        </w:rPr>
        <w:t>.</w:t>
      </w:r>
      <w:r w:rsidR="00B56A12">
        <w:rPr>
          <w:rFonts w:ascii="Times New Roman" w:hAnsi="Times New Roman"/>
          <w:sz w:val="24"/>
          <w:szCs w:val="24"/>
          <w:lang w:val="en-US" w:eastAsia="en-GB"/>
        </w:rPr>
        <w:t xml:space="preserve"> </w:t>
      </w:r>
      <w:r w:rsidR="005B51DC">
        <w:rPr>
          <w:rFonts w:ascii="Times New Roman" w:hAnsi="Times New Roman"/>
          <w:sz w:val="24"/>
          <w:szCs w:val="24"/>
          <w:lang w:val="en-US" w:eastAsia="en-GB"/>
        </w:rPr>
        <w:t>[6]</w:t>
      </w:r>
    </w:p>
    <w:p w14:paraId="795E71D4" w14:textId="1CF7200F" w:rsidR="00B512E5" w:rsidRPr="007D4016" w:rsidRDefault="00A07904" w:rsidP="00691469">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rPr>
        <w:t>A</w:t>
      </w:r>
      <w:r w:rsidR="00610B47" w:rsidRPr="007D4016">
        <w:rPr>
          <w:rFonts w:ascii="Times New Roman" w:hAnsi="Times New Roman"/>
          <w:sz w:val="24"/>
          <w:szCs w:val="24"/>
          <w:lang w:val="en-US"/>
        </w:rPr>
        <w:t>nother</w:t>
      </w:r>
      <w:r w:rsidR="006B0121" w:rsidRPr="007D4016">
        <w:rPr>
          <w:rFonts w:ascii="Times New Roman" w:hAnsi="Times New Roman"/>
          <w:sz w:val="24"/>
          <w:szCs w:val="24"/>
          <w:lang w:val="en-US"/>
        </w:rPr>
        <w:t xml:space="preserve"> </w:t>
      </w:r>
      <w:r w:rsidRPr="007D4016">
        <w:rPr>
          <w:rFonts w:ascii="Times New Roman" w:hAnsi="Times New Roman"/>
          <w:sz w:val="24"/>
          <w:szCs w:val="24"/>
          <w:lang w:val="en-US"/>
        </w:rPr>
        <w:t>aspect of blurring boundaries between public and private</w:t>
      </w:r>
      <w:r w:rsidR="00783FC2" w:rsidRPr="007D4016">
        <w:rPr>
          <w:rFonts w:ascii="Times New Roman" w:hAnsi="Times New Roman"/>
          <w:sz w:val="24"/>
          <w:szCs w:val="24"/>
          <w:lang w:val="en-US"/>
        </w:rPr>
        <w:t xml:space="preserve"> </w:t>
      </w:r>
      <w:r w:rsidRPr="007D4016">
        <w:rPr>
          <w:rFonts w:ascii="Times New Roman" w:hAnsi="Times New Roman"/>
          <w:sz w:val="24"/>
          <w:szCs w:val="24"/>
          <w:lang w:val="en-US"/>
        </w:rPr>
        <w:t xml:space="preserve">is </w:t>
      </w:r>
      <w:r w:rsidR="006B0121" w:rsidRPr="007D4016">
        <w:rPr>
          <w:rFonts w:ascii="Times New Roman" w:hAnsi="Times New Roman"/>
          <w:sz w:val="24"/>
          <w:szCs w:val="24"/>
          <w:lang w:val="en-US"/>
        </w:rPr>
        <w:t>whether</w:t>
      </w:r>
      <w:r w:rsidRPr="007D4016">
        <w:rPr>
          <w:rFonts w:ascii="Times New Roman" w:hAnsi="Times New Roman"/>
          <w:sz w:val="24"/>
          <w:szCs w:val="24"/>
          <w:lang w:val="en-US"/>
        </w:rPr>
        <w:t xml:space="preserve"> </w:t>
      </w:r>
      <w:r w:rsidR="006B0121" w:rsidRPr="007D4016">
        <w:rPr>
          <w:rFonts w:ascii="Times New Roman" w:hAnsi="Times New Roman"/>
          <w:sz w:val="24"/>
          <w:szCs w:val="24"/>
          <w:lang w:val="en-US"/>
        </w:rPr>
        <w:t xml:space="preserve">individual students and academics from private institutions have </w:t>
      </w:r>
      <w:r w:rsidRPr="007D4016">
        <w:rPr>
          <w:rFonts w:ascii="Times New Roman" w:hAnsi="Times New Roman"/>
          <w:sz w:val="24"/>
          <w:szCs w:val="24"/>
          <w:lang w:val="en-US"/>
        </w:rPr>
        <w:t xml:space="preserve">access </w:t>
      </w:r>
      <w:r w:rsidR="006B0121" w:rsidRPr="007D4016">
        <w:rPr>
          <w:rFonts w:ascii="Times New Roman" w:hAnsi="Times New Roman"/>
          <w:sz w:val="24"/>
          <w:szCs w:val="24"/>
          <w:lang w:val="en-US"/>
        </w:rPr>
        <w:t>to public resources</w:t>
      </w:r>
      <w:r w:rsidRPr="007D4016">
        <w:rPr>
          <w:rFonts w:ascii="Times New Roman" w:hAnsi="Times New Roman"/>
          <w:sz w:val="24"/>
          <w:szCs w:val="24"/>
          <w:lang w:val="en-US"/>
        </w:rPr>
        <w:t>. F</w:t>
      </w:r>
      <w:r w:rsidR="000118FD" w:rsidRPr="007D4016">
        <w:rPr>
          <w:rFonts w:ascii="Times New Roman" w:hAnsi="Times New Roman"/>
          <w:sz w:val="24"/>
          <w:szCs w:val="24"/>
          <w:lang w:val="en-US"/>
        </w:rPr>
        <w:t>or example</w:t>
      </w:r>
      <w:r w:rsidRPr="007D4016">
        <w:rPr>
          <w:rFonts w:ascii="Times New Roman" w:hAnsi="Times New Roman"/>
          <w:sz w:val="24"/>
          <w:szCs w:val="24"/>
          <w:lang w:val="en-US"/>
        </w:rPr>
        <w:t>,</w:t>
      </w:r>
      <w:r w:rsidR="000118FD" w:rsidRPr="007D4016">
        <w:rPr>
          <w:rFonts w:ascii="Times New Roman" w:hAnsi="Times New Roman"/>
          <w:sz w:val="24"/>
          <w:szCs w:val="24"/>
          <w:lang w:val="en-US"/>
        </w:rPr>
        <w:t xml:space="preserve"> in Slovenia (1993)</w:t>
      </w:r>
      <w:r w:rsidR="0010187E" w:rsidRPr="007D4016">
        <w:rPr>
          <w:rFonts w:ascii="Times New Roman" w:hAnsi="Times New Roman"/>
          <w:sz w:val="24"/>
          <w:szCs w:val="24"/>
          <w:lang w:val="en-US"/>
        </w:rPr>
        <w:t>, Croatia (2003)</w:t>
      </w:r>
      <w:r w:rsidR="005B51DC">
        <w:rPr>
          <w:rFonts w:ascii="Times New Roman" w:hAnsi="Times New Roman"/>
          <w:sz w:val="24"/>
          <w:szCs w:val="24"/>
          <w:lang w:val="en-US"/>
        </w:rPr>
        <w:t>,</w:t>
      </w:r>
      <w:r w:rsidR="000118FD" w:rsidRPr="007D4016">
        <w:rPr>
          <w:rFonts w:ascii="Times New Roman" w:hAnsi="Times New Roman"/>
          <w:sz w:val="24"/>
          <w:szCs w:val="24"/>
          <w:lang w:val="en-US"/>
        </w:rPr>
        <w:t xml:space="preserve"> and </w:t>
      </w:r>
      <w:r w:rsidR="00545F60" w:rsidRPr="007D4016">
        <w:rPr>
          <w:rFonts w:ascii="Times New Roman" w:hAnsi="Times New Roman"/>
          <w:sz w:val="24"/>
          <w:szCs w:val="24"/>
          <w:lang w:val="en-US"/>
        </w:rPr>
        <w:t>Montenegro (2013)</w:t>
      </w:r>
      <w:r w:rsidR="000118FD" w:rsidRPr="007D4016">
        <w:rPr>
          <w:rFonts w:ascii="Times New Roman" w:hAnsi="Times New Roman"/>
          <w:sz w:val="24"/>
          <w:szCs w:val="24"/>
          <w:lang w:val="en-US"/>
        </w:rPr>
        <w:t xml:space="preserve">, all students </w:t>
      </w:r>
      <w:r w:rsidR="0096794B" w:rsidRPr="007D4016">
        <w:rPr>
          <w:rFonts w:ascii="Times New Roman" w:hAnsi="Times New Roman"/>
          <w:sz w:val="24"/>
          <w:szCs w:val="24"/>
          <w:lang w:val="en-US"/>
        </w:rPr>
        <w:t>–</w:t>
      </w:r>
      <w:r w:rsidR="000118FD" w:rsidRPr="007D4016">
        <w:rPr>
          <w:rFonts w:ascii="Times New Roman" w:hAnsi="Times New Roman"/>
          <w:sz w:val="24"/>
          <w:szCs w:val="24"/>
          <w:lang w:val="en-US"/>
        </w:rPr>
        <w:t xml:space="preserve"> regardless </w:t>
      </w:r>
      <w:r w:rsidR="005B51DC">
        <w:rPr>
          <w:rFonts w:ascii="Times New Roman" w:hAnsi="Times New Roman"/>
          <w:sz w:val="24"/>
          <w:szCs w:val="24"/>
          <w:lang w:val="en-US"/>
        </w:rPr>
        <w:t>the type of the</w:t>
      </w:r>
      <w:r w:rsidR="000118FD" w:rsidRPr="007D4016">
        <w:rPr>
          <w:rFonts w:ascii="Times New Roman" w:hAnsi="Times New Roman"/>
          <w:sz w:val="24"/>
          <w:szCs w:val="24"/>
          <w:lang w:val="en-US"/>
        </w:rPr>
        <w:t xml:space="preserve"> institution they </w:t>
      </w:r>
      <w:r w:rsidR="005B51DC">
        <w:rPr>
          <w:rFonts w:ascii="Times New Roman" w:hAnsi="Times New Roman"/>
          <w:sz w:val="24"/>
          <w:szCs w:val="24"/>
          <w:lang w:val="en-US"/>
        </w:rPr>
        <w:t>attend</w:t>
      </w:r>
      <w:r w:rsidR="000118FD" w:rsidRPr="007D4016">
        <w:rPr>
          <w:rFonts w:ascii="Times New Roman" w:hAnsi="Times New Roman"/>
          <w:sz w:val="24"/>
          <w:szCs w:val="24"/>
          <w:lang w:val="en-US"/>
        </w:rPr>
        <w:t xml:space="preserve"> </w:t>
      </w:r>
      <w:r w:rsidR="0096794B" w:rsidRPr="007D4016">
        <w:rPr>
          <w:rFonts w:ascii="Times New Roman" w:hAnsi="Times New Roman"/>
          <w:sz w:val="24"/>
          <w:szCs w:val="24"/>
          <w:lang w:val="en-US"/>
        </w:rPr>
        <w:t>–</w:t>
      </w:r>
      <w:r w:rsidR="000118FD" w:rsidRPr="007D4016">
        <w:rPr>
          <w:rFonts w:ascii="Times New Roman" w:hAnsi="Times New Roman"/>
          <w:sz w:val="24"/>
          <w:szCs w:val="24"/>
          <w:lang w:val="en-US" w:eastAsia="en-GB"/>
        </w:rPr>
        <w:t xml:space="preserve"> are eligible for </w:t>
      </w:r>
      <w:r w:rsidR="00E241CA" w:rsidRPr="007D4016">
        <w:rPr>
          <w:rFonts w:ascii="Times New Roman" w:hAnsi="Times New Roman"/>
          <w:sz w:val="24"/>
          <w:szCs w:val="24"/>
          <w:lang w:val="en-US" w:eastAsia="en-GB"/>
        </w:rPr>
        <w:t>government student support</w:t>
      </w:r>
      <w:r w:rsidR="000118FD" w:rsidRPr="007D4016">
        <w:rPr>
          <w:rFonts w:ascii="Times New Roman" w:hAnsi="Times New Roman"/>
          <w:sz w:val="24"/>
          <w:szCs w:val="24"/>
          <w:lang w:val="en-US" w:eastAsia="en-GB"/>
        </w:rPr>
        <w:t xml:space="preserve"> </w:t>
      </w:r>
      <w:r w:rsidR="00D56724" w:rsidRPr="007D4016">
        <w:rPr>
          <w:rFonts w:ascii="Times New Roman" w:hAnsi="Times New Roman"/>
          <w:sz w:val="24"/>
          <w:szCs w:val="24"/>
          <w:lang w:val="en-US" w:eastAsia="en-GB"/>
        </w:rPr>
        <w:t>including</w:t>
      </w:r>
      <w:r w:rsidR="000118FD" w:rsidRPr="007D4016">
        <w:rPr>
          <w:rFonts w:ascii="Times New Roman" w:hAnsi="Times New Roman"/>
          <w:sz w:val="24"/>
          <w:szCs w:val="24"/>
          <w:lang w:val="en-US" w:eastAsia="en-GB"/>
        </w:rPr>
        <w:t xml:space="preserve"> government scholarships, government-backed loan schemes</w:t>
      </w:r>
      <w:r w:rsidR="005B51DC">
        <w:rPr>
          <w:rFonts w:ascii="Times New Roman" w:hAnsi="Times New Roman"/>
          <w:sz w:val="24"/>
          <w:szCs w:val="24"/>
          <w:lang w:val="en-US" w:eastAsia="en-GB"/>
        </w:rPr>
        <w:t>,</w:t>
      </w:r>
      <w:r w:rsidR="000118FD" w:rsidRPr="007D4016">
        <w:rPr>
          <w:rFonts w:ascii="Times New Roman" w:hAnsi="Times New Roman"/>
          <w:sz w:val="24"/>
          <w:szCs w:val="24"/>
          <w:lang w:val="en-US" w:eastAsia="en-GB"/>
        </w:rPr>
        <w:t xml:space="preserve"> and access to publicly-funded student housing. In Kosovo, Higher Education Law specifically stipulates that </w:t>
      </w:r>
      <w:r w:rsidR="000118FD" w:rsidRPr="007D4016">
        <w:rPr>
          <w:rFonts w:ascii="Times New Roman" w:eastAsiaTheme="minorHAnsi" w:hAnsi="Times New Roman"/>
          <w:sz w:val="24"/>
          <w:szCs w:val="24"/>
          <w:lang w:val="en-US"/>
        </w:rPr>
        <w:t>student financial support established by the government “</w:t>
      </w:r>
      <w:r w:rsidR="000118FD" w:rsidRPr="005B51DC">
        <w:rPr>
          <w:rFonts w:ascii="Times New Roman" w:eastAsiaTheme="minorHAnsi" w:hAnsi="Times New Roman"/>
          <w:sz w:val="24"/>
          <w:szCs w:val="24"/>
          <w:lang w:val="en-US"/>
        </w:rPr>
        <w:t>may include provision</w:t>
      </w:r>
      <w:r w:rsidR="00610B47" w:rsidRPr="005B51DC">
        <w:rPr>
          <w:rFonts w:ascii="Times New Roman" w:eastAsiaTheme="minorHAnsi" w:hAnsi="Times New Roman"/>
          <w:sz w:val="24"/>
          <w:szCs w:val="24"/>
          <w:lang w:val="en-US"/>
        </w:rPr>
        <w:t>s</w:t>
      </w:r>
      <w:r w:rsidR="000118FD" w:rsidRPr="005B51DC">
        <w:rPr>
          <w:rFonts w:ascii="Times New Roman" w:eastAsiaTheme="minorHAnsi" w:hAnsi="Times New Roman"/>
          <w:sz w:val="24"/>
          <w:szCs w:val="24"/>
          <w:lang w:val="en-US"/>
        </w:rPr>
        <w:t xml:space="preserve"> for assisting students with </w:t>
      </w:r>
      <w:r w:rsidR="00610B47" w:rsidRPr="005B51DC">
        <w:rPr>
          <w:rFonts w:ascii="Times New Roman" w:eastAsiaTheme="minorHAnsi" w:hAnsi="Times New Roman"/>
          <w:sz w:val="24"/>
          <w:szCs w:val="24"/>
          <w:lang w:val="en-US"/>
        </w:rPr>
        <w:t xml:space="preserve">the </w:t>
      </w:r>
      <w:r w:rsidR="000118FD" w:rsidRPr="005B51DC">
        <w:rPr>
          <w:rFonts w:ascii="Times New Roman" w:eastAsiaTheme="minorHAnsi" w:hAnsi="Times New Roman"/>
          <w:sz w:val="24"/>
          <w:szCs w:val="24"/>
          <w:lang w:val="en-US"/>
        </w:rPr>
        <w:t>payment of tuition and other fees at public providers and according to the valuation of the ministry, at the providers of private higher educati</w:t>
      </w:r>
      <w:r w:rsidR="00D56724" w:rsidRPr="005B51DC">
        <w:rPr>
          <w:rFonts w:ascii="Times New Roman" w:eastAsiaTheme="minorHAnsi" w:hAnsi="Times New Roman"/>
          <w:sz w:val="24"/>
          <w:szCs w:val="24"/>
          <w:lang w:val="en-US"/>
        </w:rPr>
        <w:t>on</w:t>
      </w:r>
      <w:r w:rsidR="00D56724" w:rsidRPr="007D4016">
        <w:rPr>
          <w:rFonts w:ascii="Times New Roman" w:eastAsiaTheme="minorHAnsi" w:hAnsi="Times New Roman"/>
          <w:sz w:val="24"/>
          <w:szCs w:val="24"/>
          <w:lang w:val="en-US"/>
        </w:rPr>
        <w:t xml:space="preserve">” (Kosovo, 2011, Article 32). </w:t>
      </w:r>
      <w:r w:rsidR="00694E62" w:rsidRPr="007D4016">
        <w:rPr>
          <w:rFonts w:ascii="Times New Roman" w:eastAsiaTheme="minorHAnsi" w:hAnsi="Times New Roman"/>
          <w:sz w:val="24"/>
          <w:szCs w:val="24"/>
          <w:lang w:val="en-US"/>
        </w:rPr>
        <w:t xml:space="preserve">In Albania, students from any higher education institution can apply for </w:t>
      </w:r>
      <w:r w:rsidR="006A4549" w:rsidRPr="007D4016">
        <w:rPr>
          <w:rFonts w:ascii="Times New Roman" w:eastAsiaTheme="minorHAnsi" w:hAnsi="Times New Roman"/>
          <w:sz w:val="24"/>
          <w:szCs w:val="24"/>
          <w:lang w:val="en-US"/>
        </w:rPr>
        <w:t>scholarships</w:t>
      </w:r>
      <w:r w:rsidR="00694E62" w:rsidRPr="007D4016">
        <w:rPr>
          <w:rFonts w:ascii="Times New Roman" w:eastAsiaTheme="minorHAnsi" w:hAnsi="Times New Roman"/>
          <w:sz w:val="24"/>
          <w:szCs w:val="24"/>
          <w:lang w:val="en-US"/>
        </w:rPr>
        <w:t xml:space="preserve"> or special allowances </w:t>
      </w:r>
      <w:r w:rsidR="005B51DC">
        <w:rPr>
          <w:rFonts w:ascii="Times New Roman" w:eastAsiaTheme="minorHAnsi" w:hAnsi="Times New Roman"/>
          <w:sz w:val="24"/>
          <w:szCs w:val="24"/>
          <w:lang w:val="en-US"/>
        </w:rPr>
        <w:t>based on</w:t>
      </w:r>
      <w:r w:rsidR="00694E62" w:rsidRPr="007D4016">
        <w:rPr>
          <w:rFonts w:ascii="Times New Roman" w:eastAsiaTheme="minorHAnsi" w:hAnsi="Times New Roman"/>
          <w:sz w:val="24"/>
          <w:szCs w:val="24"/>
          <w:lang w:val="en-US"/>
        </w:rPr>
        <w:t xml:space="preserve"> successful </w:t>
      </w:r>
      <w:r w:rsidR="005B51DC">
        <w:rPr>
          <w:rFonts w:ascii="Times New Roman" w:eastAsiaTheme="minorHAnsi" w:hAnsi="Times New Roman"/>
          <w:sz w:val="24"/>
          <w:szCs w:val="24"/>
          <w:lang w:val="en-US"/>
        </w:rPr>
        <w:t xml:space="preserve">academic </w:t>
      </w:r>
      <w:r w:rsidR="00694E62" w:rsidRPr="007D4016">
        <w:rPr>
          <w:rFonts w:ascii="Times New Roman" w:eastAsiaTheme="minorHAnsi" w:hAnsi="Times New Roman"/>
          <w:sz w:val="24"/>
          <w:szCs w:val="24"/>
          <w:lang w:val="en-US"/>
        </w:rPr>
        <w:t>performance (</w:t>
      </w:r>
      <w:r w:rsidR="006A4549" w:rsidRPr="007D4016">
        <w:rPr>
          <w:rFonts w:ascii="Times New Roman" w:eastAsiaTheme="minorHAnsi" w:hAnsi="Times New Roman"/>
          <w:sz w:val="24"/>
          <w:szCs w:val="24"/>
          <w:lang w:val="en-US"/>
        </w:rPr>
        <w:t>Albania,</w:t>
      </w:r>
      <w:r w:rsidR="00166222" w:rsidRPr="007D4016">
        <w:rPr>
          <w:rFonts w:ascii="Times New Roman" w:eastAsiaTheme="minorHAnsi" w:hAnsi="Times New Roman"/>
          <w:sz w:val="24"/>
          <w:szCs w:val="24"/>
          <w:lang w:val="en-US"/>
        </w:rPr>
        <w:t xml:space="preserve"> 2007,</w:t>
      </w:r>
      <w:r w:rsidR="006A4549" w:rsidRPr="007D4016">
        <w:rPr>
          <w:rFonts w:ascii="Times New Roman" w:eastAsiaTheme="minorHAnsi" w:hAnsi="Times New Roman"/>
          <w:sz w:val="24"/>
          <w:szCs w:val="24"/>
          <w:lang w:val="en-US"/>
        </w:rPr>
        <w:t xml:space="preserve"> Article 57). </w:t>
      </w:r>
      <w:r w:rsidR="008603FD" w:rsidRPr="007D4016">
        <w:rPr>
          <w:rFonts w:ascii="Times New Roman" w:eastAsiaTheme="minorHAnsi" w:hAnsi="Times New Roman"/>
          <w:sz w:val="24"/>
          <w:szCs w:val="24"/>
          <w:lang w:val="en-US"/>
        </w:rPr>
        <w:t>In all countries,</w:t>
      </w:r>
      <w:r w:rsidR="000118FD" w:rsidRPr="007D4016">
        <w:rPr>
          <w:rFonts w:ascii="Times New Roman" w:hAnsi="Times New Roman"/>
          <w:sz w:val="24"/>
          <w:szCs w:val="24"/>
          <w:lang w:val="en-US" w:eastAsia="en-GB"/>
        </w:rPr>
        <w:t xml:space="preserve"> academics regardless of institutional affiliation are </w:t>
      </w:r>
      <w:r w:rsidR="008603FD" w:rsidRPr="007D4016">
        <w:rPr>
          <w:rFonts w:ascii="Times New Roman" w:hAnsi="Times New Roman"/>
          <w:sz w:val="24"/>
          <w:szCs w:val="24"/>
          <w:lang w:val="en-US" w:eastAsia="en-GB"/>
        </w:rPr>
        <w:t>formally</w:t>
      </w:r>
      <w:r w:rsidR="000118FD" w:rsidRPr="007D4016">
        <w:rPr>
          <w:rFonts w:ascii="Times New Roman" w:hAnsi="Times New Roman"/>
          <w:sz w:val="24"/>
          <w:szCs w:val="24"/>
          <w:lang w:val="en-US" w:eastAsia="en-GB"/>
        </w:rPr>
        <w:t xml:space="preserve"> eligible to compete for research funding from national funding bodies on equal terms.</w:t>
      </w:r>
      <w:r w:rsidR="008603FD" w:rsidRPr="007D4016">
        <w:rPr>
          <w:rFonts w:ascii="Times New Roman" w:hAnsi="Times New Roman"/>
          <w:sz w:val="24"/>
          <w:szCs w:val="24"/>
          <w:lang w:val="en-US" w:eastAsia="en-GB"/>
        </w:rPr>
        <w:t xml:space="preserve"> However,</w:t>
      </w:r>
      <w:r w:rsidR="000118FD" w:rsidRPr="007D4016">
        <w:rPr>
          <w:rFonts w:ascii="Times New Roman" w:hAnsi="Times New Roman"/>
          <w:sz w:val="24"/>
          <w:szCs w:val="24"/>
          <w:lang w:val="en-US" w:eastAsia="en-GB"/>
        </w:rPr>
        <w:t xml:space="preserve"> </w:t>
      </w:r>
      <w:r w:rsidR="008603FD" w:rsidRPr="007D4016">
        <w:rPr>
          <w:rFonts w:ascii="Times New Roman" w:hAnsi="Times New Roman"/>
          <w:sz w:val="24"/>
          <w:szCs w:val="24"/>
          <w:lang w:val="en-US" w:eastAsia="en-GB"/>
        </w:rPr>
        <w:t xml:space="preserve">since such funding is not only fairly low in several countries (Branković, 2014), but also distributed on </w:t>
      </w:r>
      <w:r w:rsidR="006A4549" w:rsidRPr="007D4016">
        <w:rPr>
          <w:rFonts w:ascii="Times New Roman" w:hAnsi="Times New Roman"/>
          <w:sz w:val="24"/>
          <w:szCs w:val="24"/>
          <w:lang w:val="en-US" w:eastAsia="en-GB"/>
        </w:rPr>
        <w:t xml:space="preserve">a </w:t>
      </w:r>
      <w:r w:rsidR="008603FD" w:rsidRPr="007D4016">
        <w:rPr>
          <w:rFonts w:ascii="Times New Roman" w:hAnsi="Times New Roman"/>
          <w:sz w:val="24"/>
          <w:szCs w:val="24"/>
          <w:lang w:val="en-US" w:eastAsia="en-GB"/>
        </w:rPr>
        <w:t xml:space="preserve">competitive basis, the actual </w:t>
      </w:r>
      <w:r w:rsidR="006A4549" w:rsidRPr="007D4016">
        <w:rPr>
          <w:rFonts w:ascii="Times New Roman" w:hAnsi="Times New Roman"/>
          <w:sz w:val="24"/>
          <w:szCs w:val="24"/>
          <w:lang w:val="en-US" w:eastAsia="en-GB"/>
        </w:rPr>
        <w:t>success rate</w:t>
      </w:r>
      <w:r w:rsidR="008603FD" w:rsidRPr="007D4016">
        <w:rPr>
          <w:rFonts w:ascii="Times New Roman" w:hAnsi="Times New Roman"/>
          <w:sz w:val="24"/>
          <w:szCs w:val="24"/>
          <w:lang w:val="en-US" w:eastAsia="en-GB"/>
        </w:rPr>
        <w:t xml:space="preserve"> of academics from private institutions</w:t>
      </w:r>
      <w:r w:rsidR="006A4549" w:rsidRPr="007D4016">
        <w:rPr>
          <w:rFonts w:ascii="Times New Roman" w:hAnsi="Times New Roman"/>
          <w:sz w:val="24"/>
          <w:szCs w:val="24"/>
          <w:lang w:val="en-US" w:eastAsia="en-GB"/>
        </w:rPr>
        <w:t xml:space="preserve"> </w:t>
      </w:r>
      <w:r w:rsidR="008603FD" w:rsidRPr="007D4016">
        <w:rPr>
          <w:rFonts w:ascii="Times New Roman" w:hAnsi="Times New Roman"/>
          <w:sz w:val="24"/>
          <w:szCs w:val="24"/>
          <w:lang w:val="en-US" w:eastAsia="en-GB"/>
        </w:rPr>
        <w:t>is fairly limited</w:t>
      </w:r>
      <w:r w:rsidR="005B51DC">
        <w:rPr>
          <w:rFonts w:ascii="Times New Roman" w:hAnsi="Times New Roman"/>
          <w:sz w:val="24"/>
          <w:szCs w:val="24"/>
          <w:lang w:val="en-US" w:eastAsia="en-GB"/>
        </w:rPr>
        <w:t>,</w:t>
      </w:r>
      <w:r w:rsidR="005B51DC" w:rsidRPr="005B51DC">
        <w:rPr>
          <w:rFonts w:ascii="Times New Roman" w:hAnsi="Times New Roman"/>
          <w:sz w:val="24"/>
          <w:szCs w:val="24"/>
          <w:lang w:val="en-US" w:eastAsia="en-GB"/>
        </w:rPr>
        <w:t xml:space="preserve"> </w:t>
      </w:r>
      <w:r w:rsidR="005B51DC">
        <w:rPr>
          <w:rFonts w:ascii="Times New Roman" w:hAnsi="Times New Roman"/>
          <w:sz w:val="24"/>
          <w:szCs w:val="24"/>
          <w:lang w:val="en-US" w:eastAsia="en-GB"/>
        </w:rPr>
        <w:t xml:space="preserve">given </w:t>
      </w:r>
      <w:r w:rsidR="005B51DC" w:rsidRPr="007D4016">
        <w:rPr>
          <w:rFonts w:ascii="Times New Roman" w:hAnsi="Times New Roman"/>
          <w:sz w:val="24"/>
          <w:szCs w:val="24"/>
          <w:lang w:val="en-US" w:eastAsia="en-GB"/>
        </w:rPr>
        <w:t xml:space="preserve">poorly developed research facilities at </w:t>
      </w:r>
      <w:r w:rsidR="005B51DC">
        <w:rPr>
          <w:rFonts w:ascii="Times New Roman" w:hAnsi="Times New Roman"/>
          <w:sz w:val="24"/>
          <w:szCs w:val="24"/>
          <w:lang w:val="en-US" w:eastAsia="en-GB"/>
        </w:rPr>
        <w:t xml:space="preserve">some of </w:t>
      </w:r>
      <w:r w:rsidR="005B51DC" w:rsidRPr="007D4016">
        <w:rPr>
          <w:rFonts w:ascii="Times New Roman" w:hAnsi="Times New Roman"/>
          <w:sz w:val="24"/>
          <w:szCs w:val="24"/>
          <w:lang w:val="en-US" w:eastAsia="en-GB"/>
        </w:rPr>
        <w:t>those institutions</w:t>
      </w:r>
      <w:r w:rsidR="008603FD" w:rsidRPr="007D4016">
        <w:rPr>
          <w:rFonts w:ascii="Times New Roman" w:hAnsi="Times New Roman"/>
          <w:sz w:val="24"/>
          <w:szCs w:val="24"/>
          <w:lang w:val="en-US" w:eastAsia="en-GB"/>
        </w:rPr>
        <w:t xml:space="preserve"> </w:t>
      </w:r>
    </w:p>
    <w:p w14:paraId="74A30F39" w14:textId="57D724E2" w:rsidR="004B2E9E" w:rsidRPr="007D4016" w:rsidRDefault="006B0121" w:rsidP="002A05B9">
      <w:pPr>
        <w:spacing w:after="100" w:afterAutospacing="1" w:line="240" w:lineRule="auto"/>
        <w:jc w:val="both"/>
        <w:rPr>
          <w:rFonts w:ascii="Times New Roman" w:eastAsia="Times New Roman" w:hAnsi="Times New Roman"/>
          <w:color w:val="000000" w:themeColor="text1"/>
          <w:sz w:val="24"/>
          <w:szCs w:val="24"/>
          <w:lang w:val="en-US" w:eastAsia="en-GB"/>
        </w:rPr>
      </w:pPr>
      <w:r w:rsidRPr="007D4016">
        <w:rPr>
          <w:rFonts w:ascii="Times New Roman" w:hAnsi="Times New Roman"/>
          <w:sz w:val="24"/>
          <w:szCs w:val="24"/>
          <w:lang w:val="en-US" w:eastAsia="en-GB"/>
        </w:rPr>
        <w:t>In sum,</w:t>
      </w:r>
      <w:r w:rsidR="00F61D50" w:rsidRPr="007D4016">
        <w:rPr>
          <w:rFonts w:ascii="Times New Roman" w:hAnsi="Times New Roman"/>
          <w:sz w:val="24"/>
          <w:szCs w:val="24"/>
          <w:lang w:val="en-US" w:eastAsia="en-GB"/>
        </w:rPr>
        <w:t xml:space="preserve"> </w:t>
      </w:r>
      <w:r w:rsidR="00610B47" w:rsidRPr="007D4016">
        <w:rPr>
          <w:rFonts w:ascii="Times New Roman" w:hAnsi="Times New Roman"/>
          <w:sz w:val="24"/>
          <w:szCs w:val="24"/>
          <w:lang w:val="en-US" w:eastAsia="en-GB"/>
        </w:rPr>
        <w:t xml:space="preserve">the </w:t>
      </w:r>
      <w:r w:rsidR="002D20CB" w:rsidRPr="007D4016">
        <w:rPr>
          <w:rFonts w:ascii="Times New Roman" w:hAnsi="Times New Roman"/>
          <w:sz w:val="24"/>
          <w:szCs w:val="24"/>
          <w:lang w:val="en-US" w:eastAsia="en-GB"/>
        </w:rPr>
        <w:t>access of private providers to public subsidies for study program</w:t>
      </w:r>
      <w:r w:rsidR="005B51DC">
        <w:rPr>
          <w:rFonts w:ascii="Times New Roman" w:hAnsi="Times New Roman"/>
          <w:sz w:val="24"/>
          <w:szCs w:val="24"/>
          <w:lang w:val="en-US" w:eastAsia="en-GB"/>
        </w:rPr>
        <w:t>s has been</w:t>
      </w:r>
      <w:r w:rsidR="002D20CB" w:rsidRPr="007D4016">
        <w:rPr>
          <w:rFonts w:ascii="Times New Roman" w:hAnsi="Times New Roman"/>
          <w:sz w:val="24"/>
          <w:szCs w:val="24"/>
          <w:lang w:val="en-US" w:eastAsia="en-GB"/>
        </w:rPr>
        <w:t xml:space="preserve"> fairly widespread</w:t>
      </w:r>
      <w:r w:rsidR="005B51DC">
        <w:rPr>
          <w:rFonts w:ascii="Times New Roman" w:hAnsi="Times New Roman"/>
          <w:sz w:val="24"/>
          <w:szCs w:val="24"/>
          <w:lang w:val="en-US" w:eastAsia="en-GB"/>
        </w:rPr>
        <w:t xml:space="preserve"> so far only in Slovenia</w:t>
      </w:r>
      <w:r w:rsidR="002D20CB" w:rsidRPr="007D4016">
        <w:rPr>
          <w:rFonts w:ascii="Times New Roman" w:hAnsi="Times New Roman"/>
          <w:sz w:val="24"/>
          <w:szCs w:val="24"/>
          <w:lang w:val="en-US" w:eastAsia="en-GB"/>
        </w:rPr>
        <w:t xml:space="preserve">. Elsewhere in the region such practice is </w:t>
      </w:r>
      <w:r w:rsidR="00F168ED">
        <w:rPr>
          <w:rFonts w:ascii="Times New Roman" w:hAnsi="Times New Roman"/>
          <w:sz w:val="24"/>
          <w:szCs w:val="24"/>
          <w:lang w:val="en-US" w:eastAsia="en-GB"/>
        </w:rPr>
        <w:t xml:space="preserve">either </w:t>
      </w:r>
      <w:r w:rsidR="002D20CB" w:rsidRPr="007D4016">
        <w:rPr>
          <w:rFonts w:ascii="Times New Roman" w:hAnsi="Times New Roman"/>
          <w:sz w:val="24"/>
          <w:szCs w:val="24"/>
          <w:lang w:val="en-US" w:eastAsia="en-GB"/>
        </w:rPr>
        <w:t xml:space="preserve">not legally possible or, where it is, rarely applied in practice. </w:t>
      </w:r>
      <w:r w:rsidR="00610B47" w:rsidRPr="007D4016">
        <w:rPr>
          <w:rFonts w:ascii="Times New Roman" w:hAnsi="Times New Roman"/>
          <w:sz w:val="24"/>
          <w:szCs w:val="24"/>
          <w:lang w:val="en-US" w:eastAsia="en-GB"/>
        </w:rPr>
        <w:t>The m</w:t>
      </w:r>
      <w:r w:rsidR="002D20CB" w:rsidRPr="007D4016">
        <w:rPr>
          <w:rFonts w:ascii="Times New Roman" w:hAnsi="Times New Roman"/>
          <w:sz w:val="24"/>
          <w:szCs w:val="24"/>
          <w:lang w:val="en-US" w:eastAsia="en-GB"/>
        </w:rPr>
        <w:t xml:space="preserve">ajority of individual students and academics from private institutions in the region have access to public resources, but these are fairly limited. </w:t>
      </w:r>
      <w:r w:rsidR="00E241CA" w:rsidRPr="007D4016">
        <w:rPr>
          <w:rFonts w:ascii="Times New Roman" w:hAnsi="Times New Roman"/>
          <w:sz w:val="24"/>
          <w:szCs w:val="24"/>
          <w:lang w:val="en-US" w:eastAsia="en-GB"/>
        </w:rPr>
        <w:t>However, a</w:t>
      </w:r>
      <w:r w:rsidR="002D20CB" w:rsidRPr="007D4016">
        <w:rPr>
          <w:rFonts w:ascii="Times New Roman" w:hAnsi="Times New Roman"/>
          <w:sz w:val="24"/>
          <w:szCs w:val="24"/>
          <w:lang w:val="en-US" w:eastAsia="en-GB"/>
        </w:rPr>
        <w:t xml:space="preserve"> major reform </w:t>
      </w:r>
      <w:r w:rsidR="00E241CA" w:rsidRPr="007D4016">
        <w:rPr>
          <w:rFonts w:ascii="Times New Roman" w:hAnsi="Times New Roman"/>
          <w:sz w:val="24"/>
          <w:szCs w:val="24"/>
          <w:lang w:val="en-US" w:eastAsia="en-GB"/>
        </w:rPr>
        <w:t xml:space="preserve">of higher education financing is underway in Albania. </w:t>
      </w:r>
      <w:r w:rsidR="002D20CB" w:rsidRPr="007D4016">
        <w:rPr>
          <w:rFonts w:ascii="Times New Roman" w:hAnsi="Times New Roman"/>
          <w:sz w:val="24"/>
          <w:szCs w:val="24"/>
          <w:lang w:val="en-US" w:eastAsia="en-GB"/>
        </w:rPr>
        <w:t xml:space="preserve"> In 2014, </w:t>
      </w:r>
      <w:r w:rsidR="007D4016" w:rsidRPr="007D4016">
        <w:rPr>
          <w:rFonts w:ascii="Times New Roman" w:hAnsi="Times New Roman"/>
          <w:sz w:val="24"/>
          <w:szCs w:val="24"/>
          <w:lang w:val="en-US" w:eastAsia="en-GB"/>
        </w:rPr>
        <w:t xml:space="preserve">the government accepted a reform program </w:t>
      </w:r>
      <w:r w:rsidR="002D20CB" w:rsidRPr="007D4016">
        <w:rPr>
          <w:rFonts w:ascii="Times New Roman" w:hAnsi="Times New Roman"/>
          <w:color w:val="000000" w:themeColor="text1"/>
          <w:sz w:val="24"/>
          <w:szCs w:val="24"/>
          <w:lang w:val="en-US" w:eastAsia="en-GB"/>
        </w:rPr>
        <w:t xml:space="preserve">which </w:t>
      </w:r>
      <w:r w:rsidR="002A05B9" w:rsidRPr="007D4016">
        <w:rPr>
          <w:rFonts w:ascii="Times New Roman" w:hAnsi="Times New Roman"/>
          <w:color w:val="000000" w:themeColor="text1"/>
          <w:sz w:val="24"/>
          <w:szCs w:val="24"/>
          <w:lang w:val="en-US" w:eastAsia="en-GB"/>
        </w:rPr>
        <w:t xml:space="preserve">stipulates that all higher education institutions – private or public – can compete for government funds based on an independent rating of their performance (Albania, 2014). The proposed reform also introduces student loans and makes it possible for increases in tuition fees. </w:t>
      </w:r>
      <w:r w:rsidR="002D20CB" w:rsidRPr="007D4016">
        <w:rPr>
          <w:rFonts w:ascii="Times New Roman" w:hAnsi="Times New Roman"/>
          <w:color w:val="000000" w:themeColor="text1"/>
          <w:sz w:val="24"/>
          <w:szCs w:val="24"/>
          <w:lang w:val="en-US" w:eastAsia="en-GB"/>
        </w:rPr>
        <w:t xml:space="preserve">In </w:t>
      </w:r>
      <w:r w:rsidR="002A05B9" w:rsidRPr="007D4016">
        <w:rPr>
          <w:rFonts w:ascii="Times New Roman" w:hAnsi="Times New Roman"/>
          <w:color w:val="000000" w:themeColor="text1"/>
          <w:sz w:val="24"/>
          <w:szCs w:val="24"/>
          <w:lang w:val="en-US" w:eastAsia="en-GB"/>
        </w:rPr>
        <w:t>June 2014</w:t>
      </w:r>
      <w:r w:rsidR="00F168ED">
        <w:rPr>
          <w:rFonts w:ascii="Times New Roman" w:hAnsi="Times New Roman"/>
          <w:color w:val="000000" w:themeColor="text1"/>
          <w:sz w:val="24"/>
          <w:szCs w:val="24"/>
          <w:lang w:val="en-US" w:eastAsia="en-GB"/>
        </w:rPr>
        <w:t>,</w:t>
      </w:r>
      <w:r w:rsidR="002A05B9" w:rsidRPr="007D4016">
        <w:rPr>
          <w:rFonts w:ascii="Times New Roman" w:hAnsi="Times New Roman"/>
          <w:color w:val="000000" w:themeColor="text1"/>
          <w:sz w:val="24"/>
          <w:szCs w:val="24"/>
          <w:lang w:val="en-US" w:eastAsia="en-GB"/>
        </w:rPr>
        <w:t xml:space="preserve"> protests </w:t>
      </w:r>
      <w:r w:rsidR="002D20CB" w:rsidRPr="007D4016">
        <w:rPr>
          <w:rFonts w:ascii="Times New Roman" w:hAnsi="Times New Roman"/>
          <w:color w:val="000000" w:themeColor="text1"/>
          <w:sz w:val="24"/>
          <w:szCs w:val="24"/>
          <w:lang w:val="en-US" w:eastAsia="en-GB"/>
        </w:rPr>
        <w:t>took place in Tirana by students and academics</w:t>
      </w:r>
      <w:r w:rsidR="007D4016">
        <w:rPr>
          <w:rFonts w:ascii="Times New Roman" w:hAnsi="Times New Roman"/>
          <w:color w:val="000000" w:themeColor="text1"/>
          <w:sz w:val="24"/>
          <w:szCs w:val="24"/>
          <w:lang w:val="en-US" w:eastAsia="en-GB"/>
        </w:rPr>
        <w:t xml:space="preserve"> against the proposed reform which </w:t>
      </w:r>
      <w:r w:rsidR="002A05B9" w:rsidRPr="007D4016">
        <w:rPr>
          <w:rFonts w:ascii="Times New Roman" w:eastAsia="Times New Roman" w:hAnsi="Times New Roman"/>
          <w:color w:val="000000" w:themeColor="text1"/>
          <w:sz w:val="24"/>
          <w:szCs w:val="24"/>
          <w:lang w:val="en-US" w:eastAsia="en-GB"/>
        </w:rPr>
        <w:t>would "keep the profit private, but make</w:t>
      </w:r>
      <w:r w:rsidR="00C96861" w:rsidRPr="007D4016">
        <w:rPr>
          <w:rFonts w:ascii="Times New Roman" w:eastAsia="Times New Roman" w:hAnsi="Times New Roman"/>
          <w:color w:val="000000" w:themeColor="text1"/>
          <w:sz w:val="24"/>
          <w:szCs w:val="24"/>
          <w:lang w:val="en-US" w:eastAsia="en-GB"/>
        </w:rPr>
        <w:t xml:space="preserve"> the financial burden public”</w:t>
      </w:r>
      <w:r w:rsidR="002A05B9" w:rsidRPr="007D4016">
        <w:rPr>
          <w:rFonts w:ascii="Times New Roman" w:eastAsia="Times New Roman" w:hAnsi="Times New Roman"/>
          <w:color w:val="000000" w:themeColor="text1"/>
          <w:sz w:val="24"/>
          <w:szCs w:val="24"/>
          <w:lang w:val="en-US" w:eastAsia="en-GB"/>
        </w:rPr>
        <w:t>,</w:t>
      </w:r>
      <w:r w:rsidR="00F168ED">
        <w:rPr>
          <w:rFonts w:ascii="Times New Roman" w:eastAsia="Times New Roman" w:hAnsi="Times New Roman"/>
          <w:color w:val="000000" w:themeColor="text1"/>
          <w:sz w:val="24"/>
          <w:szCs w:val="24"/>
          <w:lang w:val="en-US" w:eastAsia="en-GB"/>
        </w:rPr>
        <w:t>[7]</w:t>
      </w:r>
      <w:r w:rsidR="007D4016">
        <w:rPr>
          <w:rFonts w:ascii="Times New Roman" w:eastAsia="Times New Roman" w:hAnsi="Times New Roman"/>
          <w:color w:val="000000" w:themeColor="text1"/>
          <w:sz w:val="24"/>
          <w:szCs w:val="24"/>
          <w:lang w:val="en-US" w:eastAsia="en-GB"/>
        </w:rPr>
        <w:t xml:space="preserve"> </w:t>
      </w:r>
      <w:r w:rsidR="002A05B9" w:rsidRPr="007D4016">
        <w:rPr>
          <w:rFonts w:ascii="Times New Roman" w:eastAsia="Times New Roman" w:hAnsi="Times New Roman"/>
          <w:color w:val="000000" w:themeColor="text1"/>
          <w:sz w:val="24"/>
          <w:szCs w:val="24"/>
          <w:lang w:val="en-US" w:eastAsia="en-GB"/>
        </w:rPr>
        <w:t xml:space="preserve">a view </w:t>
      </w:r>
      <w:r w:rsidR="002D20CB" w:rsidRPr="007D4016">
        <w:rPr>
          <w:rFonts w:ascii="Times New Roman" w:eastAsia="Times New Roman" w:hAnsi="Times New Roman"/>
          <w:color w:val="000000" w:themeColor="text1"/>
          <w:sz w:val="24"/>
          <w:szCs w:val="24"/>
          <w:lang w:val="en-US" w:eastAsia="en-GB"/>
        </w:rPr>
        <w:t>which</w:t>
      </w:r>
      <w:r w:rsidR="002A05B9" w:rsidRPr="007D4016">
        <w:rPr>
          <w:rFonts w:ascii="Times New Roman" w:eastAsia="Times New Roman" w:hAnsi="Times New Roman"/>
          <w:color w:val="000000" w:themeColor="text1"/>
          <w:sz w:val="24"/>
          <w:szCs w:val="24"/>
          <w:lang w:val="en-US" w:eastAsia="en-GB"/>
        </w:rPr>
        <w:t xml:space="preserve"> is common </w:t>
      </w:r>
      <w:r w:rsidR="00F168ED">
        <w:rPr>
          <w:rFonts w:ascii="Times New Roman" w:eastAsia="Times New Roman" w:hAnsi="Times New Roman"/>
          <w:color w:val="000000" w:themeColor="text1"/>
          <w:sz w:val="24"/>
          <w:szCs w:val="24"/>
          <w:lang w:val="en-US" w:eastAsia="en-GB"/>
        </w:rPr>
        <w:t>across</w:t>
      </w:r>
      <w:r w:rsidR="002A05B9" w:rsidRPr="007D4016">
        <w:rPr>
          <w:rFonts w:ascii="Times New Roman" w:eastAsia="Times New Roman" w:hAnsi="Times New Roman"/>
          <w:color w:val="000000" w:themeColor="text1"/>
          <w:sz w:val="24"/>
          <w:szCs w:val="24"/>
          <w:lang w:val="en-US" w:eastAsia="en-GB"/>
        </w:rPr>
        <w:t xml:space="preserve"> the region where social acceptability of private higher education providers continues to be questioned</w:t>
      </w:r>
      <w:r w:rsidR="00F168ED">
        <w:rPr>
          <w:rFonts w:ascii="Times New Roman" w:eastAsia="Times New Roman" w:hAnsi="Times New Roman"/>
          <w:color w:val="000000" w:themeColor="text1"/>
          <w:sz w:val="24"/>
          <w:szCs w:val="24"/>
          <w:lang w:val="en-US" w:eastAsia="en-GB"/>
        </w:rPr>
        <w:t xml:space="preserve"> (see </w:t>
      </w:r>
      <w:r w:rsidR="009346D3">
        <w:rPr>
          <w:rFonts w:ascii="Times New Roman" w:eastAsia="Times New Roman" w:hAnsi="Times New Roman"/>
          <w:color w:val="000000" w:themeColor="text1"/>
          <w:sz w:val="24"/>
          <w:szCs w:val="24"/>
          <w:lang w:val="en-US" w:eastAsia="en-GB"/>
        </w:rPr>
        <w:t>also Silova et al. in this special issue</w:t>
      </w:r>
      <w:r w:rsidR="00F168ED">
        <w:rPr>
          <w:rFonts w:ascii="Times New Roman" w:eastAsia="Times New Roman" w:hAnsi="Times New Roman"/>
          <w:color w:val="000000" w:themeColor="text1"/>
          <w:sz w:val="24"/>
          <w:szCs w:val="24"/>
          <w:lang w:val="en-US" w:eastAsia="en-GB"/>
        </w:rPr>
        <w:t>)</w:t>
      </w:r>
      <w:r w:rsidR="002A05B9" w:rsidRPr="007D4016">
        <w:rPr>
          <w:rFonts w:ascii="Times New Roman" w:eastAsia="Times New Roman" w:hAnsi="Times New Roman"/>
          <w:color w:val="000000" w:themeColor="text1"/>
          <w:sz w:val="24"/>
          <w:szCs w:val="24"/>
          <w:lang w:val="en-US" w:eastAsia="en-GB"/>
        </w:rPr>
        <w:t xml:space="preserve">. </w:t>
      </w:r>
    </w:p>
    <w:p w14:paraId="2E8BE243" w14:textId="77777777" w:rsidR="004E6817" w:rsidRPr="007D4016" w:rsidRDefault="004E6817" w:rsidP="00691469">
      <w:pPr>
        <w:pStyle w:val="Heading1"/>
        <w:spacing w:before="0" w:after="100" w:afterAutospacing="1" w:line="240" w:lineRule="auto"/>
        <w:jc w:val="both"/>
        <w:rPr>
          <w:rFonts w:ascii="Times New Roman" w:hAnsi="Times New Roman"/>
          <w:color w:val="auto"/>
          <w:sz w:val="24"/>
          <w:szCs w:val="24"/>
          <w:lang w:val="en-US"/>
        </w:rPr>
      </w:pPr>
      <w:r w:rsidRPr="007D4016">
        <w:rPr>
          <w:rFonts w:ascii="Times New Roman" w:hAnsi="Times New Roman"/>
          <w:color w:val="auto"/>
          <w:sz w:val="24"/>
          <w:szCs w:val="24"/>
          <w:lang w:val="en-US"/>
        </w:rPr>
        <w:t xml:space="preserve">Strengthening the </w:t>
      </w:r>
      <w:r w:rsidR="00C70D0F" w:rsidRPr="007D4016">
        <w:rPr>
          <w:rFonts w:ascii="Times New Roman" w:hAnsi="Times New Roman"/>
          <w:color w:val="auto"/>
          <w:sz w:val="24"/>
          <w:szCs w:val="24"/>
          <w:lang w:val="en-US"/>
        </w:rPr>
        <w:t>‘</w:t>
      </w:r>
      <w:r w:rsidRPr="007D4016">
        <w:rPr>
          <w:rFonts w:ascii="Times New Roman" w:hAnsi="Times New Roman"/>
          <w:color w:val="auto"/>
          <w:sz w:val="24"/>
          <w:szCs w:val="24"/>
          <w:lang w:val="en-US"/>
        </w:rPr>
        <w:t xml:space="preserve">private’ in public higher education </w:t>
      </w:r>
    </w:p>
    <w:p w14:paraId="4773F530" w14:textId="464ABA3C" w:rsidR="009A53FE" w:rsidRPr="007D4016" w:rsidRDefault="00C70D0F" w:rsidP="00C70D0F">
      <w:pPr>
        <w:spacing w:after="100" w:afterAutospacing="1" w:line="240" w:lineRule="auto"/>
        <w:jc w:val="both"/>
        <w:rPr>
          <w:rFonts w:ascii="Times New Roman" w:eastAsiaTheme="minorHAnsi" w:hAnsi="Times New Roman"/>
          <w:sz w:val="24"/>
          <w:szCs w:val="24"/>
          <w:lang w:val="en-US"/>
        </w:rPr>
      </w:pPr>
      <w:r w:rsidRPr="007D4016">
        <w:rPr>
          <w:rFonts w:ascii="Times New Roman" w:hAnsi="Times New Roman"/>
          <w:sz w:val="24"/>
          <w:szCs w:val="24"/>
          <w:lang w:val="en-US" w:eastAsia="en-GB"/>
        </w:rPr>
        <w:t xml:space="preserve">Under the </w:t>
      </w:r>
      <w:r w:rsidR="007D4016">
        <w:rPr>
          <w:rFonts w:ascii="Times New Roman" w:hAnsi="Times New Roman"/>
          <w:sz w:val="24"/>
          <w:szCs w:val="24"/>
          <w:lang w:val="en-US" w:eastAsia="en-GB"/>
        </w:rPr>
        <w:t xml:space="preserve">acute underfunding of higher education in some countries and the </w:t>
      </w:r>
      <w:r w:rsidRPr="007D4016">
        <w:rPr>
          <w:rFonts w:ascii="Times New Roman" w:hAnsi="Times New Roman"/>
          <w:sz w:val="24"/>
          <w:szCs w:val="24"/>
          <w:lang w:val="en-US" w:eastAsia="en-GB"/>
        </w:rPr>
        <w:t>austerity measures in public spending</w:t>
      </w:r>
      <w:r w:rsidR="007D4016">
        <w:rPr>
          <w:rFonts w:ascii="Times New Roman" w:hAnsi="Times New Roman"/>
          <w:sz w:val="24"/>
          <w:szCs w:val="24"/>
          <w:lang w:val="en-US" w:eastAsia="en-GB"/>
        </w:rPr>
        <w:t xml:space="preserve"> elsewhere</w:t>
      </w:r>
      <w:r w:rsidRPr="007D4016">
        <w:rPr>
          <w:rFonts w:ascii="Times New Roman" w:hAnsi="Times New Roman"/>
          <w:sz w:val="24"/>
          <w:szCs w:val="24"/>
          <w:lang w:val="en-US" w:eastAsia="en-GB"/>
        </w:rPr>
        <w:t xml:space="preserve">, governments in the region </w:t>
      </w:r>
      <w:r w:rsidR="00F168ED">
        <w:rPr>
          <w:rFonts w:ascii="Times New Roman" w:hAnsi="Times New Roman"/>
          <w:sz w:val="24"/>
          <w:szCs w:val="24"/>
          <w:lang w:val="en-US" w:eastAsia="en-GB"/>
        </w:rPr>
        <w:t xml:space="preserve">have been concerned about </w:t>
      </w:r>
      <w:r w:rsidR="00ED7864" w:rsidRPr="007D4016">
        <w:rPr>
          <w:rFonts w:ascii="Times New Roman" w:hAnsi="Times New Roman"/>
          <w:sz w:val="24"/>
          <w:szCs w:val="24"/>
          <w:lang w:val="en-US" w:eastAsia="en-GB"/>
        </w:rPr>
        <w:t xml:space="preserve">the </w:t>
      </w:r>
      <w:r w:rsidRPr="007D4016">
        <w:rPr>
          <w:rFonts w:ascii="Times New Roman" w:hAnsi="Times New Roman"/>
          <w:sz w:val="24"/>
          <w:szCs w:val="24"/>
          <w:lang w:val="en-US" w:eastAsia="en-GB"/>
        </w:rPr>
        <w:t xml:space="preserve">financial sustainability of public higher education institutions. </w:t>
      </w:r>
      <w:r w:rsidR="00F168ED">
        <w:rPr>
          <w:rFonts w:ascii="Times New Roman" w:hAnsi="Times New Roman"/>
          <w:sz w:val="24"/>
          <w:szCs w:val="24"/>
          <w:lang w:val="en-US" w:eastAsia="en-GB"/>
        </w:rPr>
        <w:t>Across the region, a common p</w:t>
      </w:r>
      <w:r w:rsidRPr="007D4016">
        <w:rPr>
          <w:rFonts w:ascii="Times New Roman" w:hAnsi="Times New Roman"/>
          <w:sz w:val="24"/>
          <w:szCs w:val="24"/>
          <w:lang w:val="en-US" w:eastAsia="en-GB"/>
        </w:rPr>
        <w:t xml:space="preserve">olitical discourse is that </w:t>
      </w:r>
      <w:r w:rsidRPr="00F168ED">
        <w:rPr>
          <w:rFonts w:ascii="Times New Roman" w:hAnsi="Times New Roman"/>
          <w:sz w:val="24"/>
          <w:szCs w:val="24"/>
          <w:lang w:val="en-US" w:eastAsia="en-GB"/>
        </w:rPr>
        <w:t xml:space="preserve">“[t]he sum to be allocated in </w:t>
      </w:r>
      <w:r w:rsidR="00ED7864" w:rsidRPr="00F168ED">
        <w:rPr>
          <w:rFonts w:ascii="Times New Roman" w:hAnsi="Times New Roman"/>
          <w:sz w:val="24"/>
          <w:szCs w:val="24"/>
          <w:lang w:val="en-US" w:eastAsia="en-GB"/>
        </w:rPr>
        <w:t xml:space="preserve">the </w:t>
      </w:r>
      <w:r w:rsidRPr="00F168ED">
        <w:rPr>
          <w:rFonts w:ascii="Times New Roman" w:hAnsi="Times New Roman"/>
          <w:sz w:val="24"/>
          <w:szCs w:val="24"/>
          <w:lang w:val="en-US" w:eastAsia="en-GB"/>
        </w:rPr>
        <w:t>budget cannot cover the needs of the institutions, if they are expected to provide quality education and research</w:t>
      </w:r>
      <w:r w:rsidR="00F168ED">
        <w:rPr>
          <w:rFonts w:ascii="Times New Roman" w:hAnsi="Times New Roman"/>
          <w:sz w:val="24"/>
          <w:szCs w:val="24"/>
          <w:lang w:val="en-US" w:eastAsia="en-GB"/>
        </w:rPr>
        <w:t>,</w:t>
      </w:r>
      <w:r w:rsidRPr="007D4016">
        <w:rPr>
          <w:rFonts w:ascii="Times New Roman" w:hAnsi="Times New Roman"/>
          <w:sz w:val="24"/>
          <w:szCs w:val="24"/>
          <w:lang w:val="en-US" w:eastAsia="en-GB"/>
        </w:rPr>
        <w:t xml:space="preserve">” as stated </w:t>
      </w:r>
      <w:r w:rsidRPr="007D4016">
        <w:rPr>
          <w:rFonts w:ascii="Times New Roman" w:hAnsi="Times New Roman"/>
          <w:sz w:val="24"/>
          <w:szCs w:val="24"/>
          <w:lang w:val="en-US"/>
        </w:rPr>
        <w:t xml:space="preserve">in the funding strategy for higher education in Montenegro (Montenegro, 2011, p. 13). Hence, governments are prompting public institutions to diversify their revenue sources. For example, </w:t>
      </w:r>
      <w:r w:rsidRPr="007D4016">
        <w:rPr>
          <w:rFonts w:ascii="Times New Roman" w:hAnsi="Times New Roman"/>
          <w:sz w:val="24"/>
          <w:szCs w:val="24"/>
          <w:lang w:val="en-US" w:eastAsia="en-GB"/>
        </w:rPr>
        <w:t xml:space="preserve">the Albanian </w:t>
      </w:r>
      <w:r w:rsidRPr="007D4016">
        <w:rPr>
          <w:rFonts w:ascii="Times New Roman" w:eastAsiaTheme="minorHAnsi" w:hAnsi="Times New Roman"/>
          <w:sz w:val="24"/>
          <w:szCs w:val="24"/>
          <w:lang w:val="en-US"/>
        </w:rPr>
        <w:t>"National Strategy for Higher Education 2008-2013" (Albania 2008, Article 58) makes it very clear that the government will develop “</w:t>
      </w:r>
      <w:r w:rsidRPr="00F168ED">
        <w:rPr>
          <w:rFonts w:ascii="Times New Roman" w:eastAsiaTheme="minorHAnsi" w:hAnsi="Times New Roman"/>
          <w:sz w:val="24"/>
          <w:szCs w:val="24"/>
          <w:lang w:val="en-US"/>
        </w:rPr>
        <w:t>measures to enable and encourage higher education institutions in making use of all legal opportunities for generation of revenues</w:t>
      </w:r>
      <w:r w:rsidR="00F168ED">
        <w:rPr>
          <w:rFonts w:ascii="Times New Roman" w:eastAsiaTheme="minorHAnsi" w:hAnsi="Times New Roman"/>
          <w:sz w:val="24"/>
          <w:szCs w:val="24"/>
          <w:lang w:val="en-US"/>
        </w:rPr>
        <w:t>.</w:t>
      </w:r>
      <w:r w:rsidRPr="007D4016">
        <w:rPr>
          <w:rFonts w:ascii="Times New Roman" w:eastAsiaTheme="minorHAnsi" w:hAnsi="Times New Roman"/>
          <w:sz w:val="24"/>
          <w:szCs w:val="24"/>
          <w:lang w:val="en-US"/>
        </w:rPr>
        <w:t>” T</w:t>
      </w:r>
      <w:r w:rsidR="00F168ED" w:rsidRPr="007D4016">
        <w:rPr>
          <w:rFonts w:ascii="Times New Roman" w:eastAsiaTheme="minorHAnsi" w:hAnsi="Times New Roman"/>
          <w:sz w:val="24"/>
          <w:szCs w:val="24"/>
          <w:lang w:val="en-US"/>
        </w:rPr>
        <w:t xml:space="preserve">here are two main options </w:t>
      </w:r>
      <w:r w:rsidR="00F168ED">
        <w:rPr>
          <w:rFonts w:ascii="Times New Roman" w:eastAsiaTheme="minorHAnsi" w:hAnsi="Times New Roman"/>
          <w:sz w:val="24"/>
          <w:szCs w:val="24"/>
          <w:lang w:val="en-US"/>
        </w:rPr>
        <w:t>t</w:t>
      </w:r>
      <w:r w:rsidRPr="007D4016">
        <w:rPr>
          <w:rFonts w:ascii="Times New Roman" w:eastAsiaTheme="minorHAnsi" w:hAnsi="Times New Roman"/>
          <w:sz w:val="24"/>
          <w:szCs w:val="24"/>
          <w:lang w:val="en-US"/>
        </w:rPr>
        <w:t xml:space="preserve">o diversify sources of revenue,: </w:t>
      </w:r>
      <w:r w:rsidR="009A53FE" w:rsidRPr="007D4016">
        <w:rPr>
          <w:rFonts w:ascii="Times New Roman" w:eastAsiaTheme="minorHAnsi" w:hAnsi="Times New Roman"/>
          <w:sz w:val="24"/>
          <w:szCs w:val="24"/>
          <w:lang w:val="en-US"/>
        </w:rPr>
        <w:t xml:space="preserve">one is to </w:t>
      </w:r>
      <w:r w:rsidRPr="007D4016">
        <w:rPr>
          <w:rFonts w:ascii="Times New Roman" w:eastAsiaTheme="minorHAnsi" w:hAnsi="Times New Roman"/>
          <w:sz w:val="24"/>
          <w:szCs w:val="24"/>
          <w:lang w:val="en-US"/>
        </w:rPr>
        <w:t>introduc</w:t>
      </w:r>
      <w:r w:rsidR="009A53FE" w:rsidRPr="007D4016">
        <w:rPr>
          <w:rFonts w:ascii="Times New Roman" w:eastAsiaTheme="minorHAnsi" w:hAnsi="Times New Roman"/>
          <w:sz w:val="24"/>
          <w:szCs w:val="24"/>
          <w:lang w:val="en-US"/>
        </w:rPr>
        <w:t>e</w:t>
      </w:r>
      <w:r w:rsidRPr="007D4016">
        <w:rPr>
          <w:rFonts w:ascii="Times New Roman" w:eastAsiaTheme="minorHAnsi" w:hAnsi="Times New Roman"/>
          <w:sz w:val="24"/>
          <w:szCs w:val="24"/>
          <w:lang w:val="en-US"/>
        </w:rPr>
        <w:t xml:space="preserve"> or increase</w:t>
      </w:r>
      <w:r w:rsidR="009A53FE" w:rsidRPr="007D4016">
        <w:rPr>
          <w:rFonts w:ascii="Times New Roman" w:eastAsiaTheme="minorHAnsi" w:hAnsi="Times New Roman"/>
          <w:sz w:val="24"/>
          <w:szCs w:val="24"/>
          <w:lang w:val="en-US"/>
        </w:rPr>
        <w:t xml:space="preserve"> tuition fees, and the other is to create revenues from commercial activities, including collaboration with industry and spin-offs. Both options require government intervention to create appropriate legal and policy frameworks.  </w:t>
      </w:r>
    </w:p>
    <w:p w14:paraId="46920BE7" w14:textId="77777777" w:rsidR="00E94582" w:rsidRPr="007D4016" w:rsidRDefault="00E94582" w:rsidP="00E94582">
      <w:pPr>
        <w:pStyle w:val="Heading2"/>
        <w:rPr>
          <w:rFonts w:ascii="Times New Roman" w:hAnsi="Times New Roman" w:cs="Times New Roman"/>
          <w:b w:val="0"/>
          <w:i/>
          <w:color w:val="000000" w:themeColor="text1"/>
          <w:sz w:val="24"/>
          <w:szCs w:val="24"/>
          <w:lang w:val="en-US"/>
        </w:rPr>
      </w:pPr>
      <w:r w:rsidRPr="007D4016">
        <w:rPr>
          <w:rFonts w:ascii="Times New Roman" w:hAnsi="Times New Roman" w:cs="Times New Roman"/>
          <w:b w:val="0"/>
          <w:i/>
          <w:color w:val="000000" w:themeColor="text1"/>
          <w:sz w:val="24"/>
          <w:szCs w:val="24"/>
          <w:lang w:val="en-US"/>
        </w:rPr>
        <w:t>Tuition fee policies</w:t>
      </w:r>
    </w:p>
    <w:p w14:paraId="6BDF721C" w14:textId="192886D9" w:rsidR="00DA795F" w:rsidRPr="007D4016" w:rsidRDefault="009A53FE" w:rsidP="00DA795F">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rPr>
        <w:t xml:space="preserve">The tuition fee policies vary across examined countries. </w:t>
      </w:r>
      <w:r w:rsidR="00ED7864" w:rsidRPr="007D4016">
        <w:rPr>
          <w:rFonts w:ascii="Times New Roman" w:hAnsi="Times New Roman"/>
          <w:sz w:val="24"/>
          <w:szCs w:val="24"/>
          <w:lang w:val="en-US"/>
        </w:rPr>
        <w:t>Already in</w:t>
      </w:r>
      <w:r w:rsidR="004B2E9E" w:rsidRPr="007D4016">
        <w:rPr>
          <w:rFonts w:ascii="Times New Roman" w:hAnsi="Times New Roman"/>
          <w:sz w:val="24"/>
          <w:szCs w:val="24"/>
          <w:lang w:val="en-US"/>
        </w:rPr>
        <w:t xml:space="preserve"> </w:t>
      </w:r>
      <w:r w:rsidR="001F307E" w:rsidRPr="007D4016">
        <w:rPr>
          <w:rFonts w:ascii="Times New Roman" w:hAnsi="Times New Roman"/>
          <w:sz w:val="24"/>
          <w:szCs w:val="24"/>
          <w:lang w:val="en-US"/>
        </w:rPr>
        <w:t xml:space="preserve">the former Yugoslavia, higher education institutions </w:t>
      </w:r>
      <w:r w:rsidR="00ED7864" w:rsidRPr="007D4016">
        <w:rPr>
          <w:rFonts w:ascii="Times New Roman" w:hAnsi="Times New Roman"/>
          <w:sz w:val="24"/>
          <w:szCs w:val="24"/>
          <w:lang w:val="en-US"/>
        </w:rPr>
        <w:t>began</w:t>
      </w:r>
      <w:r w:rsidR="001F307E" w:rsidRPr="007D4016">
        <w:rPr>
          <w:rFonts w:ascii="Times New Roman" w:hAnsi="Times New Roman"/>
          <w:sz w:val="24"/>
          <w:szCs w:val="24"/>
          <w:lang w:val="en-US"/>
        </w:rPr>
        <w:t xml:space="preserve"> offering programs for self-paying part-time students</w:t>
      </w:r>
      <w:r w:rsidR="007D4016">
        <w:rPr>
          <w:rFonts w:ascii="Times New Roman" w:hAnsi="Times New Roman"/>
          <w:sz w:val="24"/>
          <w:szCs w:val="24"/>
          <w:lang w:val="en-US"/>
        </w:rPr>
        <w:t xml:space="preserve"> </w:t>
      </w:r>
      <w:r w:rsidR="00F168ED">
        <w:rPr>
          <w:rFonts w:ascii="Times New Roman" w:hAnsi="Times New Roman"/>
          <w:sz w:val="24"/>
          <w:szCs w:val="24"/>
          <w:lang w:val="en-US"/>
        </w:rPr>
        <w:t>in</w:t>
      </w:r>
      <w:r w:rsidR="007D4016">
        <w:rPr>
          <w:rFonts w:ascii="Times New Roman" w:hAnsi="Times New Roman"/>
          <w:sz w:val="24"/>
          <w:szCs w:val="24"/>
          <w:lang w:val="en-US"/>
        </w:rPr>
        <w:t xml:space="preserve"> public institutions</w:t>
      </w:r>
      <w:r w:rsidR="001F307E" w:rsidRPr="007D4016">
        <w:rPr>
          <w:rFonts w:ascii="Times New Roman" w:hAnsi="Times New Roman"/>
          <w:sz w:val="24"/>
          <w:szCs w:val="24"/>
          <w:lang w:val="en-US"/>
        </w:rPr>
        <w:t xml:space="preserve">. </w:t>
      </w:r>
      <w:r w:rsidR="007D4016">
        <w:rPr>
          <w:rFonts w:ascii="Times New Roman" w:hAnsi="Times New Roman"/>
          <w:sz w:val="24"/>
          <w:szCs w:val="24"/>
          <w:lang w:val="en-US"/>
        </w:rPr>
        <w:t>After 1990, i</w:t>
      </w:r>
      <w:r w:rsidRPr="007D4016">
        <w:rPr>
          <w:rFonts w:ascii="Times New Roman" w:hAnsi="Times New Roman"/>
          <w:sz w:val="24"/>
          <w:szCs w:val="24"/>
          <w:lang w:val="en-US"/>
        </w:rPr>
        <w:t>n response to increasing demand and limited public funds for extending “budget-funded” student places,</w:t>
      </w:r>
      <w:r w:rsidR="001F307E" w:rsidRPr="007D4016">
        <w:rPr>
          <w:rFonts w:ascii="Times New Roman" w:hAnsi="Times New Roman"/>
          <w:sz w:val="24"/>
          <w:szCs w:val="24"/>
          <w:lang w:val="en-US"/>
        </w:rPr>
        <w:t xml:space="preserve"> this system has </w:t>
      </w:r>
      <w:r w:rsidR="00ED7864" w:rsidRPr="007D4016">
        <w:rPr>
          <w:rFonts w:ascii="Times New Roman" w:hAnsi="Times New Roman"/>
          <w:sz w:val="24"/>
          <w:szCs w:val="24"/>
          <w:lang w:val="en-US"/>
        </w:rPr>
        <w:t xml:space="preserve">also </w:t>
      </w:r>
      <w:r w:rsidR="001F307E" w:rsidRPr="007D4016">
        <w:rPr>
          <w:rFonts w:ascii="Times New Roman" w:hAnsi="Times New Roman"/>
          <w:sz w:val="24"/>
          <w:szCs w:val="24"/>
          <w:lang w:val="en-US"/>
        </w:rPr>
        <w:t xml:space="preserve">been </w:t>
      </w:r>
      <w:r w:rsidR="00F168ED">
        <w:rPr>
          <w:rFonts w:ascii="Times New Roman" w:hAnsi="Times New Roman"/>
          <w:sz w:val="24"/>
          <w:szCs w:val="24"/>
          <w:lang w:val="en-US"/>
        </w:rPr>
        <w:t xml:space="preserve">extended </w:t>
      </w:r>
      <w:r w:rsidR="001F307E" w:rsidRPr="007D4016">
        <w:rPr>
          <w:rFonts w:ascii="Times New Roman" w:hAnsi="Times New Roman"/>
          <w:sz w:val="24"/>
          <w:szCs w:val="24"/>
          <w:lang w:val="en-US"/>
        </w:rPr>
        <w:t>to full-time students</w:t>
      </w:r>
      <w:r w:rsidR="00B52AF1" w:rsidRPr="007D4016">
        <w:rPr>
          <w:rFonts w:ascii="Times New Roman" w:hAnsi="Times New Roman"/>
          <w:sz w:val="24"/>
          <w:szCs w:val="24"/>
          <w:lang w:val="en-US"/>
        </w:rPr>
        <w:t>. I</w:t>
      </w:r>
      <w:r w:rsidR="001F307E" w:rsidRPr="007D4016">
        <w:rPr>
          <w:rFonts w:ascii="Times New Roman" w:hAnsi="Times New Roman"/>
          <w:sz w:val="24"/>
          <w:szCs w:val="24"/>
          <w:lang w:val="en-US"/>
        </w:rPr>
        <w:t xml:space="preserve">n Serbia, Croatia, </w:t>
      </w:r>
      <w:r w:rsidR="007D4016">
        <w:rPr>
          <w:rFonts w:ascii="Times New Roman" w:hAnsi="Times New Roman"/>
          <w:sz w:val="24"/>
          <w:szCs w:val="24"/>
          <w:lang w:val="en-US"/>
        </w:rPr>
        <w:t>Bosnia and Herzegovina</w:t>
      </w:r>
      <w:r w:rsidR="00F168ED">
        <w:rPr>
          <w:rFonts w:ascii="Times New Roman" w:hAnsi="Times New Roman"/>
          <w:sz w:val="24"/>
          <w:szCs w:val="24"/>
          <w:lang w:val="en-US"/>
        </w:rPr>
        <w:t>,</w:t>
      </w:r>
      <w:r w:rsidR="007D4016">
        <w:rPr>
          <w:rFonts w:ascii="Times New Roman" w:hAnsi="Times New Roman"/>
          <w:sz w:val="24"/>
          <w:szCs w:val="24"/>
          <w:lang w:val="en-US"/>
        </w:rPr>
        <w:t xml:space="preserve"> </w:t>
      </w:r>
      <w:r w:rsidR="001F307E" w:rsidRPr="007D4016">
        <w:rPr>
          <w:rFonts w:ascii="Times New Roman" w:hAnsi="Times New Roman"/>
          <w:sz w:val="24"/>
          <w:szCs w:val="24"/>
          <w:lang w:val="en-US"/>
        </w:rPr>
        <w:t xml:space="preserve">and Montenegro, public higher education follows a dual tuition system that admits some full-time students tuition-free based on state quotas. The others who do not qualify for the competitive tuition-free admissions </w:t>
      </w:r>
      <w:r w:rsidR="00B52AF1" w:rsidRPr="007D4016">
        <w:rPr>
          <w:rFonts w:ascii="Times New Roman" w:hAnsi="Times New Roman"/>
          <w:sz w:val="24"/>
          <w:szCs w:val="24"/>
          <w:lang w:val="en-US"/>
        </w:rPr>
        <w:t xml:space="preserve">can </w:t>
      </w:r>
      <w:r w:rsidR="001F307E" w:rsidRPr="007D4016">
        <w:rPr>
          <w:rFonts w:ascii="Times New Roman" w:hAnsi="Times New Roman"/>
          <w:sz w:val="24"/>
          <w:szCs w:val="24"/>
          <w:lang w:val="en-US"/>
        </w:rPr>
        <w:t>enrol</w:t>
      </w:r>
      <w:r w:rsidR="00F168ED">
        <w:rPr>
          <w:rFonts w:ascii="Times New Roman" w:hAnsi="Times New Roman"/>
          <w:sz w:val="24"/>
          <w:szCs w:val="24"/>
          <w:lang w:val="en-US"/>
        </w:rPr>
        <w:t>l</w:t>
      </w:r>
      <w:r w:rsidR="001F307E" w:rsidRPr="007D4016">
        <w:rPr>
          <w:rFonts w:ascii="Times New Roman" w:hAnsi="Times New Roman"/>
          <w:sz w:val="24"/>
          <w:szCs w:val="24"/>
          <w:lang w:val="en-US"/>
        </w:rPr>
        <w:t xml:space="preserve"> in the same program – sit together in classrooms </w:t>
      </w:r>
      <w:r w:rsidR="00EF1AE5" w:rsidRPr="007D4016">
        <w:rPr>
          <w:rFonts w:ascii="Times New Roman" w:hAnsi="Times New Roman"/>
          <w:sz w:val="24"/>
          <w:szCs w:val="24"/>
          <w:lang w:val="en-US"/>
        </w:rPr>
        <w:t>–</w:t>
      </w:r>
      <w:r w:rsidR="001F307E" w:rsidRPr="007D4016">
        <w:rPr>
          <w:rFonts w:ascii="Times New Roman" w:hAnsi="Times New Roman"/>
          <w:sz w:val="24"/>
          <w:szCs w:val="24"/>
          <w:lang w:val="en-US"/>
        </w:rPr>
        <w:t xml:space="preserve"> </w:t>
      </w:r>
      <w:r w:rsidR="00B52AF1" w:rsidRPr="007D4016">
        <w:rPr>
          <w:rFonts w:ascii="Times New Roman" w:hAnsi="Times New Roman"/>
          <w:sz w:val="24"/>
          <w:szCs w:val="24"/>
          <w:lang w:val="en-US"/>
        </w:rPr>
        <w:t xml:space="preserve">by </w:t>
      </w:r>
      <w:r w:rsidR="001F307E" w:rsidRPr="007D4016">
        <w:rPr>
          <w:rFonts w:ascii="Times New Roman" w:hAnsi="Times New Roman"/>
          <w:sz w:val="24"/>
          <w:szCs w:val="24"/>
          <w:lang w:val="en-US"/>
        </w:rPr>
        <w:t xml:space="preserve">paying a tuition fee (Zgaga et al., 2013). </w:t>
      </w:r>
      <w:r w:rsidR="00D21E53" w:rsidRPr="007D4016">
        <w:rPr>
          <w:rFonts w:ascii="Times New Roman" w:hAnsi="Times New Roman"/>
          <w:sz w:val="24"/>
          <w:szCs w:val="24"/>
          <w:lang w:val="en-US" w:eastAsia="en-GB"/>
        </w:rPr>
        <w:t>In this context</w:t>
      </w:r>
      <w:r w:rsidR="00F168ED">
        <w:rPr>
          <w:rFonts w:ascii="Times New Roman" w:hAnsi="Times New Roman"/>
          <w:sz w:val="24"/>
          <w:szCs w:val="24"/>
          <w:lang w:val="en-US" w:eastAsia="en-GB"/>
        </w:rPr>
        <w:t>,</w:t>
      </w:r>
      <w:r w:rsidR="00D21E53" w:rsidRPr="007D4016">
        <w:rPr>
          <w:rFonts w:ascii="Times New Roman" w:hAnsi="Times New Roman"/>
          <w:sz w:val="24"/>
          <w:szCs w:val="24"/>
          <w:lang w:val="en-US" w:eastAsia="en-GB"/>
        </w:rPr>
        <w:t xml:space="preserve"> Slovenia has been a </w:t>
      </w:r>
      <w:r w:rsidR="00ED7864" w:rsidRPr="007D4016">
        <w:rPr>
          <w:rFonts w:ascii="Times New Roman" w:hAnsi="Times New Roman"/>
          <w:sz w:val="24"/>
          <w:szCs w:val="24"/>
          <w:lang w:val="en-US" w:eastAsia="en-GB"/>
        </w:rPr>
        <w:t xml:space="preserve">singular </w:t>
      </w:r>
      <w:r w:rsidR="00D21E53" w:rsidRPr="007D4016">
        <w:rPr>
          <w:rFonts w:ascii="Times New Roman" w:hAnsi="Times New Roman"/>
          <w:sz w:val="24"/>
          <w:szCs w:val="24"/>
          <w:lang w:val="en-US" w:eastAsia="en-GB"/>
        </w:rPr>
        <w:t>case</w:t>
      </w:r>
      <w:r w:rsidR="00EF1AE5" w:rsidRPr="007D4016">
        <w:rPr>
          <w:rFonts w:ascii="Times New Roman" w:hAnsi="Times New Roman"/>
          <w:sz w:val="24"/>
          <w:szCs w:val="24"/>
          <w:lang w:val="en-US" w:eastAsia="en-GB"/>
        </w:rPr>
        <w:t xml:space="preserve"> </w:t>
      </w:r>
      <w:r w:rsidR="00C72D36" w:rsidRPr="007D4016">
        <w:rPr>
          <w:rFonts w:ascii="Times New Roman" w:hAnsi="Times New Roman"/>
          <w:sz w:val="24"/>
          <w:szCs w:val="24"/>
          <w:lang w:val="en-US" w:eastAsia="en-GB"/>
        </w:rPr>
        <w:t xml:space="preserve">in </w:t>
      </w:r>
      <w:r w:rsidR="00EF1AE5" w:rsidRPr="007D4016">
        <w:rPr>
          <w:rFonts w:ascii="Times New Roman" w:hAnsi="Times New Roman"/>
          <w:sz w:val="24"/>
          <w:szCs w:val="24"/>
          <w:lang w:val="en-US" w:eastAsia="en-GB"/>
        </w:rPr>
        <w:t xml:space="preserve">which the old tradition </w:t>
      </w:r>
      <w:r w:rsidRPr="007D4016">
        <w:rPr>
          <w:rFonts w:ascii="Times New Roman" w:hAnsi="Times New Roman"/>
          <w:sz w:val="24"/>
          <w:szCs w:val="24"/>
          <w:lang w:val="en-US" w:eastAsia="en-GB"/>
        </w:rPr>
        <w:t>– of budget full-time and self-paying part</w:t>
      </w:r>
      <w:r w:rsidR="00F168ED">
        <w:rPr>
          <w:rFonts w:ascii="Times New Roman" w:hAnsi="Times New Roman"/>
          <w:sz w:val="24"/>
          <w:szCs w:val="24"/>
          <w:lang w:val="en-US" w:eastAsia="en-GB"/>
        </w:rPr>
        <w:t>-</w:t>
      </w:r>
      <w:r w:rsidRPr="007D4016">
        <w:rPr>
          <w:rFonts w:ascii="Times New Roman" w:hAnsi="Times New Roman"/>
          <w:sz w:val="24"/>
          <w:szCs w:val="24"/>
          <w:lang w:val="en-US" w:eastAsia="en-GB"/>
        </w:rPr>
        <w:t xml:space="preserve">time students </w:t>
      </w:r>
      <w:r w:rsidR="00C72D36" w:rsidRPr="007D4016">
        <w:rPr>
          <w:rFonts w:ascii="Times New Roman" w:hAnsi="Times New Roman"/>
          <w:sz w:val="24"/>
          <w:szCs w:val="24"/>
          <w:lang w:val="en-US" w:eastAsia="en-GB"/>
        </w:rPr>
        <w:t>–</w:t>
      </w:r>
      <w:r w:rsidRPr="007D4016">
        <w:rPr>
          <w:rFonts w:ascii="Times New Roman" w:hAnsi="Times New Roman"/>
          <w:sz w:val="24"/>
          <w:szCs w:val="24"/>
          <w:lang w:val="en-US" w:eastAsia="en-GB"/>
        </w:rPr>
        <w:t xml:space="preserve"> </w:t>
      </w:r>
      <w:r w:rsidR="00C72D36" w:rsidRPr="007D4016">
        <w:rPr>
          <w:rFonts w:ascii="Times New Roman" w:hAnsi="Times New Roman"/>
          <w:sz w:val="24"/>
          <w:szCs w:val="24"/>
          <w:lang w:val="en-US" w:eastAsia="en-GB"/>
        </w:rPr>
        <w:t>has been retained</w:t>
      </w:r>
      <w:r w:rsidR="00D21E53" w:rsidRPr="007D4016">
        <w:rPr>
          <w:rFonts w:ascii="Times New Roman" w:hAnsi="Times New Roman"/>
          <w:sz w:val="24"/>
          <w:szCs w:val="24"/>
          <w:lang w:val="en-US" w:eastAsia="en-GB"/>
        </w:rPr>
        <w:t xml:space="preserve">. </w:t>
      </w:r>
      <w:r w:rsidRPr="007D4016">
        <w:rPr>
          <w:rFonts w:ascii="Times New Roman" w:hAnsi="Times New Roman"/>
          <w:sz w:val="24"/>
          <w:szCs w:val="24"/>
          <w:lang w:val="en-US" w:eastAsia="en-GB"/>
        </w:rPr>
        <w:t>Slovenian l</w:t>
      </w:r>
      <w:r w:rsidR="003B6FD0" w:rsidRPr="007D4016">
        <w:rPr>
          <w:rFonts w:ascii="Times New Roman" w:hAnsi="Times New Roman"/>
          <w:sz w:val="24"/>
          <w:szCs w:val="24"/>
          <w:lang w:val="en-US" w:eastAsia="en-GB"/>
        </w:rPr>
        <w:t>egislation stipulate</w:t>
      </w:r>
      <w:r w:rsidR="00B52AF1" w:rsidRPr="007D4016">
        <w:rPr>
          <w:rFonts w:ascii="Times New Roman" w:hAnsi="Times New Roman"/>
          <w:sz w:val="24"/>
          <w:szCs w:val="24"/>
          <w:lang w:val="en-US" w:eastAsia="en-GB"/>
        </w:rPr>
        <w:t>s</w:t>
      </w:r>
      <w:r w:rsidR="003B6FD0" w:rsidRPr="007D4016">
        <w:rPr>
          <w:rFonts w:ascii="Times New Roman" w:hAnsi="Times New Roman"/>
          <w:sz w:val="24"/>
          <w:szCs w:val="24"/>
          <w:lang w:val="en-US" w:eastAsia="en-GB"/>
        </w:rPr>
        <w:t xml:space="preserve"> that there shall be no fees for full-time undergraduate students both </w:t>
      </w:r>
      <w:r w:rsidR="00F168ED">
        <w:rPr>
          <w:rFonts w:ascii="Times New Roman" w:hAnsi="Times New Roman"/>
          <w:sz w:val="24"/>
          <w:szCs w:val="24"/>
          <w:lang w:val="en-US" w:eastAsia="en-GB"/>
        </w:rPr>
        <w:t>in</w:t>
      </w:r>
      <w:r w:rsidR="003B6FD0" w:rsidRPr="007D4016">
        <w:rPr>
          <w:rFonts w:ascii="Times New Roman" w:hAnsi="Times New Roman"/>
          <w:sz w:val="24"/>
          <w:szCs w:val="24"/>
          <w:lang w:val="en-US" w:eastAsia="en-GB"/>
        </w:rPr>
        <w:t xml:space="preserve"> public as well as private institutions that have a “concession” from the state. </w:t>
      </w:r>
      <w:r w:rsidR="00980529" w:rsidRPr="007D4016">
        <w:rPr>
          <w:rFonts w:ascii="Times New Roman" w:hAnsi="Times New Roman"/>
          <w:sz w:val="24"/>
          <w:szCs w:val="24"/>
          <w:lang w:val="en-US" w:eastAsia="en-GB"/>
        </w:rPr>
        <w:t>Hence</w:t>
      </w:r>
      <w:r w:rsidR="00D21E53" w:rsidRPr="007D4016">
        <w:rPr>
          <w:rFonts w:ascii="Times New Roman" w:hAnsi="Times New Roman"/>
          <w:sz w:val="24"/>
          <w:szCs w:val="24"/>
          <w:lang w:val="en-US" w:eastAsia="en-GB"/>
        </w:rPr>
        <w:t xml:space="preserve">, a division between “budget-funded” and “non-budget” students was not made possible. </w:t>
      </w:r>
      <w:r w:rsidR="003B6FD0" w:rsidRPr="007D4016">
        <w:rPr>
          <w:rFonts w:ascii="Times New Roman" w:hAnsi="Times New Roman"/>
          <w:sz w:val="24"/>
          <w:szCs w:val="24"/>
          <w:lang w:val="en-US" w:eastAsia="en-GB"/>
        </w:rPr>
        <w:t>However, p</w:t>
      </w:r>
      <w:r w:rsidR="00D21E53" w:rsidRPr="007D4016">
        <w:rPr>
          <w:rFonts w:ascii="Times New Roman" w:hAnsi="Times New Roman"/>
          <w:sz w:val="24"/>
          <w:szCs w:val="24"/>
          <w:lang w:val="en-US" w:eastAsia="en-GB"/>
        </w:rPr>
        <w:t>art-time students did pay fees already during the socialist period and this system has not</w:t>
      </w:r>
      <w:r w:rsidR="00F168ED">
        <w:rPr>
          <w:rFonts w:ascii="Times New Roman" w:hAnsi="Times New Roman"/>
          <w:sz w:val="24"/>
          <w:szCs w:val="24"/>
          <w:lang w:val="en-US" w:eastAsia="en-GB"/>
        </w:rPr>
        <w:t xml:space="preserve"> </w:t>
      </w:r>
      <w:r w:rsidR="00D21E53" w:rsidRPr="007D4016">
        <w:rPr>
          <w:rFonts w:ascii="Times New Roman" w:hAnsi="Times New Roman"/>
          <w:sz w:val="24"/>
          <w:szCs w:val="24"/>
          <w:lang w:val="en-US" w:eastAsia="en-GB"/>
        </w:rPr>
        <w:t xml:space="preserve">changed until today. </w:t>
      </w:r>
    </w:p>
    <w:p w14:paraId="76298A2A" w14:textId="567F03E4" w:rsidR="00A50115" w:rsidRPr="007D4016" w:rsidRDefault="00A50115" w:rsidP="00691469">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At present, </w:t>
      </w:r>
      <w:r w:rsidR="00F168ED">
        <w:rPr>
          <w:rFonts w:ascii="Times New Roman" w:hAnsi="Times New Roman"/>
          <w:sz w:val="24"/>
          <w:szCs w:val="24"/>
          <w:lang w:val="en-US" w:eastAsia="en-GB"/>
        </w:rPr>
        <w:t xml:space="preserve">the phenomenon of </w:t>
      </w:r>
      <w:r w:rsidRPr="007D4016">
        <w:rPr>
          <w:rFonts w:ascii="Times New Roman" w:hAnsi="Times New Roman"/>
          <w:sz w:val="24"/>
          <w:szCs w:val="24"/>
          <w:lang w:val="en-US" w:eastAsia="en-GB"/>
        </w:rPr>
        <w:t>f</w:t>
      </w:r>
      <w:r w:rsidR="00980529" w:rsidRPr="007D4016">
        <w:rPr>
          <w:rFonts w:ascii="Times New Roman" w:hAnsi="Times New Roman"/>
          <w:sz w:val="24"/>
          <w:szCs w:val="24"/>
          <w:lang w:val="en-US" w:eastAsia="en-GB"/>
        </w:rPr>
        <w:t xml:space="preserve">ee-paying students </w:t>
      </w:r>
      <w:r w:rsidR="00F168ED">
        <w:rPr>
          <w:rFonts w:ascii="Times New Roman" w:hAnsi="Times New Roman"/>
          <w:sz w:val="24"/>
          <w:szCs w:val="24"/>
          <w:lang w:val="en-US" w:eastAsia="en-GB"/>
        </w:rPr>
        <w:t>in</w:t>
      </w:r>
      <w:r w:rsidR="00980529" w:rsidRPr="007D4016">
        <w:rPr>
          <w:rFonts w:ascii="Times New Roman" w:hAnsi="Times New Roman"/>
          <w:sz w:val="24"/>
          <w:szCs w:val="24"/>
          <w:lang w:val="en-US" w:eastAsia="en-GB"/>
        </w:rPr>
        <w:t xml:space="preserve"> public universities </w:t>
      </w:r>
      <w:r w:rsidR="00F168ED">
        <w:rPr>
          <w:rFonts w:ascii="Times New Roman" w:hAnsi="Times New Roman"/>
          <w:sz w:val="24"/>
          <w:szCs w:val="24"/>
          <w:lang w:val="en-US" w:eastAsia="en-GB"/>
        </w:rPr>
        <w:t>is</w:t>
      </w:r>
      <w:r w:rsidR="00980529" w:rsidRPr="007D4016">
        <w:rPr>
          <w:rFonts w:ascii="Times New Roman" w:hAnsi="Times New Roman"/>
          <w:sz w:val="24"/>
          <w:szCs w:val="24"/>
          <w:lang w:val="en-US" w:eastAsia="en-GB"/>
        </w:rPr>
        <w:t xml:space="preserve"> </w:t>
      </w:r>
      <w:r w:rsidR="00F168ED">
        <w:rPr>
          <w:rFonts w:ascii="Times New Roman" w:hAnsi="Times New Roman"/>
          <w:sz w:val="24"/>
          <w:szCs w:val="24"/>
          <w:lang w:val="en-US" w:eastAsia="en-GB"/>
        </w:rPr>
        <w:t>common across</w:t>
      </w:r>
      <w:r w:rsidRPr="007D4016">
        <w:rPr>
          <w:rFonts w:ascii="Times New Roman" w:hAnsi="Times New Roman"/>
          <w:sz w:val="24"/>
          <w:szCs w:val="24"/>
          <w:lang w:val="en-US" w:eastAsia="en-GB"/>
        </w:rPr>
        <w:t xml:space="preserve"> the region</w:t>
      </w:r>
      <w:r w:rsidR="001F307E" w:rsidRPr="007D4016">
        <w:rPr>
          <w:rFonts w:ascii="Times New Roman" w:hAnsi="Times New Roman"/>
          <w:sz w:val="24"/>
          <w:szCs w:val="24"/>
          <w:lang w:val="en-US" w:eastAsia="en-GB"/>
        </w:rPr>
        <w:t>. In</w:t>
      </w:r>
      <w:r w:rsidR="00B52AF1" w:rsidRPr="007D4016">
        <w:rPr>
          <w:rFonts w:ascii="Times New Roman" w:hAnsi="Times New Roman"/>
          <w:sz w:val="24"/>
          <w:szCs w:val="24"/>
          <w:lang w:val="en-US" w:eastAsia="en-GB"/>
        </w:rPr>
        <w:t xml:space="preserve"> the </w:t>
      </w:r>
      <w:r w:rsidR="007D4016">
        <w:rPr>
          <w:rFonts w:ascii="Times New Roman" w:hAnsi="Times New Roman"/>
          <w:sz w:val="24"/>
          <w:szCs w:val="24"/>
          <w:lang w:val="en-US" w:eastAsia="en-GB"/>
        </w:rPr>
        <w:t>four</w:t>
      </w:r>
      <w:r w:rsidR="00B52AF1" w:rsidRPr="007D4016">
        <w:rPr>
          <w:rFonts w:ascii="Times New Roman" w:hAnsi="Times New Roman"/>
          <w:sz w:val="24"/>
          <w:szCs w:val="24"/>
          <w:lang w:val="en-US" w:eastAsia="en-GB"/>
        </w:rPr>
        <w:t xml:space="preserve"> countries mentioned above,</w:t>
      </w:r>
      <w:r w:rsidR="001F307E" w:rsidRPr="007D4016">
        <w:rPr>
          <w:rFonts w:ascii="Times New Roman" w:hAnsi="Times New Roman"/>
          <w:sz w:val="24"/>
          <w:szCs w:val="24"/>
          <w:lang w:val="en-US" w:eastAsia="en-GB"/>
        </w:rPr>
        <w:t xml:space="preserve"> the enrolments of fee</w:t>
      </w:r>
      <w:r w:rsidR="00C72D36" w:rsidRPr="007D4016">
        <w:rPr>
          <w:rFonts w:ascii="Times New Roman" w:hAnsi="Times New Roman"/>
          <w:sz w:val="24"/>
          <w:szCs w:val="24"/>
          <w:lang w:val="en-US" w:eastAsia="en-GB"/>
        </w:rPr>
        <w:t>-</w:t>
      </w:r>
      <w:r w:rsidR="001F307E" w:rsidRPr="007D4016">
        <w:rPr>
          <w:rFonts w:ascii="Times New Roman" w:hAnsi="Times New Roman"/>
          <w:sz w:val="24"/>
          <w:szCs w:val="24"/>
          <w:lang w:val="en-US" w:eastAsia="en-GB"/>
        </w:rPr>
        <w:t>paying students excee</w:t>
      </w:r>
      <w:r w:rsidR="00DA641C" w:rsidRPr="007D4016">
        <w:rPr>
          <w:rFonts w:ascii="Times New Roman" w:hAnsi="Times New Roman"/>
          <w:sz w:val="24"/>
          <w:szCs w:val="24"/>
          <w:lang w:val="en-US" w:eastAsia="en-GB"/>
        </w:rPr>
        <w:t>d</w:t>
      </w:r>
      <w:r w:rsidR="001F307E" w:rsidRPr="007D4016">
        <w:rPr>
          <w:rFonts w:ascii="Times New Roman" w:hAnsi="Times New Roman"/>
          <w:sz w:val="24"/>
          <w:szCs w:val="24"/>
          <w:lang w:val="en-US" w:eastAsia="en-GB"/>
        </w:rPr>
        <w:t xml:space="preserve"> enrolments of </w:t>
      </w:r>
      <w:r w:rsidRPr="007D4016">
        <w:rPr>
          <w:rFonts w:ascii="Times New Roman" w:hAnsi="Times New Roman"/>
          <w:sz w:val="24"/>
          <w:szCs w:val="24"/>
          <w:lang w:val="en-US" w:eastAsia="en-GB"/>
        </w:rPr>
        <w:t>“state-funded”</w:t>
      </w:r>
      <w:r w:rsidR="001F307E" w:rsidRPr="007D4016">
        <w:rPr>
          <w:rFonts w:ascii="Times New Roman" w:hAnsi="Times New Roman"/>
          <w:sz w:val="24"/>
          <w:szCs w:val="24"/>
          <w:lang w:val="en-US" w:eastAsia="en-GB"/>
        </w:rPr>
        <w:t xml:space="preserve"> students. </w:t>
      </w:r>
      <w:r w:rsidR="00DA641C" w:rsidRPr="007D4016">
        <w:rPr>
          <w:rFonts w:ascii="Times New Roman" w:hAnsi="Times New Roman"/>
          <w:sz w:val="24"/>
          <w:szCs w:val="24"/>
          <w:lang w:val="en-US" w:eastAsia="en-GB"/>
        </w:rPr>
        <w:t xml:space="preserve">We have data for Croatia, where in the academic year 2013/14, full tuition fees were covered by the government for 38 </w:t>
      </w:r>
      <w:r w:rsidR="0079568A">
        <w:rPr>
          <w:rFonts w:ascii="Times New Roman" w:hAnsi="Times New Roman"/>
          <w:sz w:val="24"/>
          <w:szCs w:val="24"/>
          <w:lang w:val="en-US" w:eastAsia="en-GB"/>
        </w:rPr>
        <w:t>percent</w:t>
      </w:r>
      <w:r w:rsidR="00DA641C" w:rsidRPr="007D4016">
        <w:rPr>
          <w:rFonts w:ascii="Times New Roman" w:hAnsi="Times New Roman"/>
          <w:sz w:val="24"/>
          <w:szCs w:val="24"/>
          <w:lang w:val="en-US" w:eastAsia="en-GB"/>
        </w:rPr>
        <w:t xml:space="preserve"> of students, while 61 </w:t>
      </w:r>
      <w:r w:rsidR="0079568A">
        <w:rPr>
          <w:rFonts w:ascii="Times New Roman" w:hAnsi="Times New Roman"/>
          <w:sz w:val="24"/>
          <w:szCs w:val="24"/>
          <w:lang w:val="en-US" w:eastAsia="en-GB"/>
        </w:rPr>
        <w:t>percent</w:t>
      </w:r>
      <w:r w:rsidR="00DA641C" w:rsidRPr="007D4016">
        <w:rPr>
          <w:rFonts w:ascii="Times New Roman" w:hAnsi="Times New Roman"/>
          <w:sz w:val="24"/>
          <w:szCs w:val="24"/>
          <w:lang w:val="en-US" w:eastAsia="en-GB"/>
        </w:rPr>
        <w:t xml:space="preserve"> </w:t>
      </w:r>
      <w:r w:rsidR="00C72D36" w:rsidRPr="007D4016">
        <w:rPr>
          <w:rFonts w:ascii="Times New Roman" w:hAnsi="Times New Roman"/>
          <w:sz w:val="24"/>
          <w:szCs w:val="24"/>
          <w:lang w:val="en-US" w:eastAsia="en-GB"/>
        </w:rPr>
        <w:t xml:space="preserve">contributed to </w:t>
      </w:r>
      <w:r w:rsidR="00D07802" w:rsidRPr="007D4016">
        <w:rPr>
          <w:rFonts w:ascii="Times New Roman" w:hAnsi="Times New Roman"/>
          <w:sz w:val="24"/>
          <w:szCs w:val="24"/>
          <w:lang w:val="en-US" w:eastAsia="en-GB"/>
        </w:rPr>
        <w:t>the study cost</w:t>
      </w:r>
      <w:r w:rsidR="00DA641C" w:rsidRPr="007D4016">
        <w:rPr>
          <w:rFonts w:ascii="Times New Roman" w:hAnsi="Times New Roman"/>
          <w:sz w:val="24"/>
          <w:szCs w:val="24"/>
          <w:lang w:val="en-US" w:eastAsia="en-GB"/>
        </w:rPr>
        <w:t xml:space="preserve"> to some extent (Eurydice, 2014). Dolenec and Doolan (2013) observe that since mid-1990s the most significant growth of student population in Croatia has taken place among self-financed students</w:t>
      </w:r>
      <w:r w:rsidR="0079568A">
        <w:rPr>
          <w:rFonts w:ascii="Times New Roman" w:hAnsi="Times New Roman"/>
          <w:sz w:val="24"/>
          <w:szCs w:val="24"/>
          <w:lang w:val="en-US" w:eastAsia="en-GB"/>
        </w:rPr>
        <w:t xml:space="preserve"> (p. 330)</w:t>
      </w:r>
      <w:r w:rsidR="00DA641C" w:rsidRPr="007D4016">
        <w:rPr>
          <w:rFonts w:ascii="Times New Roman" w:hAnsi="Times New Roman"/>
          <w:sz w:val="24"/>
          <w:szCs w:val="24"/>
          <w:lang w:val="en-US" w:eastAsia="en-GB"/>
        </w:rPr>
        <w:t xml:space="preserve">. While in the 1993/1994 academic year only 11.8 percent of students were paying tuition fees in public institutions, by 2010/2011 this share had increased to 60 percent (p. 330). In Montenegro, the data for the only public </w:t>
      </w:r>
      <w:r w:rsidR="0079568A">
        <w:rPr>
          <w:rFonts w:ascii="Times New Roman" w:hAnsi="Times New Roman"/>
          <w:sz w:val="24"/>
          <w:szCs w:val="24"/>
          <w:lang w:val="en-US" w:eastAsia="en-GB"/>
        </w:rPr>
        <w:t>u</w:t>
      </w:r>
      <w:r w:rsidR="00DA641C" w:rsidRPr="007D4016">
        <w:rPr>
          <w:rFonts w:ascii="Times New Roman" w:hAnsi="Times New Roman"/>
          <w:sz w:val="24"/>
          <w:szCs w:val="24"/>
          <w:lang w:val="en-US" w:eastAsia="en-GB"/>
        </w:rPr>
        <w:t>niversity shows that only 25</w:t>
      </w:r>
      <w:r w:rsidR="0079568A">
        <w:rPr>
          <w:rFonts w:ascii="Times New Roman" w:hAnsi="Times New Roman"/>
          <w:sz w:val="24"/>
          <w:szCs w:val="24"/>
          <w:lang w:val="en-US" w:eastAsia="en-GB"/>
        </w:rPr>
        <w:t xml:space="preserve"> percent</w:t>
      </w:r>
      <w:r w:rsidR="00DA641C" w:rsidRPr="007D4016">
        <w:rPr>
          <w:rFonts w:ascii="Times New Roman" w:hAnsi="Times New Roman"/>
          <w:sz w:val="24"/>
          <w:szCs w:val="24"/>
          <w:lang w:val="en-US" w:eastAsia="en-GB"/>
        </w:rPr>
        <w:t xml:space="preserve"> of all enrolled students have state-funded study places, </w:t>
      </w:r>
      <w:r w:rsidR="00C72D36" w:rsidRPr="007D4016">
        <w:rPr>
          <w:rFonts w:ascii="Times New Roman" w:hAnsi="Times New Roman"/>
          <w:sz w:val="24"/>
          <w:szCs w:val="24"/>
          <w:lang w:val="en-US" w:eastAsia="en-GB"/>
        </w:rPr>
        <w:t xml:space="preserve">while </w:t>
      </w:r>
      <w:r w:rsidR="00DA641C" w:rsidRPr="007D4016">
        <w:rPr>
          <w:rFonts w:ascii="Times New Roman" w:hAnsi="Times New Roman"/>
          <w:sz w:val="24"/>
          <w:szCs w:val="24"/>
          <w:lang w:val="en-US" w:eastAsia="en-GB"/>
        </w:rPr>
        <w:t xml:space="preserve">others pay tuition fees (Eurydice, 2014). All master degree students </w:t>
      </w:r>
      <w:r w:rsidR="0079568A">
        <w:rPr>
          <w:rFonts w:ascii="Times New Roman" w:hAnsi="Times New Roman"/>
          <w:sz w:val="24"/>
          <w:szCs w:val="24"/>
          <w:lang w:val="en-US" w:eastAsia="en-GB"/>
        </w:rPr>
        <w:t>in</w:t>
      </w:r>
      <w:r w:rsidR="00DA641C" w:rsidRPr="007D4016">
        <w:rPr>
          <w:rFonts w:ascii="Times New Roman" w:hAnsi="Times New Roman"/>
          <w:sz w:val="24"/>
          <w:szCs w:val="24"/>
          <w:lang w:val="en-US" w:eastAsia="en-GB"/>
        </w:rPr>
        <w:t xml:space="preserve"> the public university are obliged to pay fees. </w:t>
      </w:r>
      <w:r w:rsidR="00DA795F" w:rsidRPr="007D4016">
        <w:rPr>
          <w:rFonts w:ascii="Times New Roman" w:hAnsi="Times New Roman"/>
          <w:sz w:val="24"/>
          <w:szCs w:val="24"/>
          <w:lang w:val="en-US" w:eastAsia="en-GB"/>
        </w:rPr>
        <w:t xml:space="preserve">In Serbia, the total number of students who pay </w:t>
      </w:r>
      <w:r w:rsidR="0079568A">
        <w:rPr>
          <w:rFonts w:ascii="Times New Roman" w:hAnsi="Times New Roman"/>
          <w:sz w:val="24"/>
          <w:szCs w:val="24"/>
          <w:lang w:val="en-US" w:eastAsia="en-GB"/>
        </w:rPr>
        <w:t xml:space="preserve">for </w:t>
      </w:r>
      <w:r w:rsidR="00DA795F" w:rsidRPr="007D4016">
        <w:rPr>
          <w:rFonts w:ascii="Times New Roman" w:hAnsi="Times New Roman"/>
          <w:sz w:val="24"/>
          <w:szCs w:val="24"/>
          <w:lang w:val="en-US" w:eastAsia="en-GB"/>
        </w:rPr>
        <w:t>their education in public institutions is 53</w:t>
      </w:r>
      <w:r w:rsidR="0079568A">
        <w:rPr>
          <w:rFonts w:ascii="Times New Roman" w:hAnsi="Times New Roman"/>
          <w:sz w:val="24"/>
          <w:szCs w:val="24"/>
          <w:lang w:val="en-US" w:eastAsia="en-GB"/>
        </w:rPr>
        <w:t xml:space="preserve"> percent</w:t>
      </w:r>
      <w:r w:rsidR="00DA795F" w:rsidRPr="007D4016">
        <w:rPr>
          <w:rFonts w:ascii="Times New Roman" w:hAnsi="Times New Roman"/>
          <w:sz w:val="24"/>
          <w:szCs w:val="24"/>
          <w:lang w:val="en-US" w:eastAsia="en-GB"/>
        </w:rPr>
        <w:t xml:space="preserve"> in the first cycle and 75</w:t>
      </w:r>
      <w:r w:rsidR="0079568A">
        <w:rPr>
          <w:rFonts w:ascii="Times New Roman" w:hAnsi="Times New Roman"/>
          <w:sz w:val="24"/>
          <w:szCs w:val="24"/>
          <w:lang w:val="en-US" w:eastAsia="en-GB"/>
        </w:rPr>
        <w:t xml:space="preserve"> percent</w:t>
      </w:r>
      <w:r w:rsidR="00DA795F" w:rsidRPr="007D4016">
        <w:rPr>
          <w:rFonts w:ascii="Times New Roman" w:hAnsi="Times New Roman"/>
          <w:sz w:val="24"/>
          <w:szCs w:val="24"/>
          <w:lang w:val="en-US" w:eastAsia="en-GB"/>
        </w:rPr>
        <w:t xml:space="preserve"> in the second cycle (Serbia, 2012). </w:t>
      </w:r>
      <w:r w:rsidR="00DA641C" w:rsidRPr="007D4016">
        <w:rPr>
          <w:rFonts w:ascii="Times New Roman" w:hAnsi="Times New Roman"/>
          <w:sz w:val="24"/>
          <w:szCs w:val="24"/>
          <w:lang w:val="en-US" w:eastAsia="en-GB"/>
        </w:rPr>
        <w:t>The share of fee-paying</w:t>
      </w:r>
      <w:r w:rsidR="009A53FE" w:rsidRPr="007D4016">
        <w:rPr>
          <w:rFonts w:ascii="Times New Roman" w:hAnsi="Times New Roman"/>
          <w:sz w:val="24"/>
          <w:szCs w:val="24"/>
          <w:lang w:val="en-US" w:eastAsia="en-GB"/>
        </w:rPr>
        <w:t xml:space="preserve"> </w:t>
      </w:r>
      <w:r w:rsidR="00DA641C" w:rsidRPr="007D4016">
        <w:rPr>
          <w:rFonts w:ascii="Times New Roman" w:hAnsi="Times New Roman"/>
          <w:sz w:val="24"/>
          <w:szCs w:val="24"/>
          <w:lang w:val="en-US" w:eastAsia="en-GB"/>
        </w:rPr>
        <w:t xml:space="preserve">students </w:t>
      </w:r>
      <w:r w:rsidR="0079568A">
        <w:rPr>
          <w:rFonts w:ascii="Times New Roman" w:hAnsi="Times New Roman"/>
          <w:sz w:val="24"/>
          <w:szCs w:val="24"/>
          <w:lang w:val="en-US" w:eastAsia="en-GB"/>
        </w:rPr>
        <w:t>in</w:t>
      </w:r>
      <w:r w:rsidR="00DA641C" w:rsidRPr="007D4016">
        <w:rPr>
          <w:rFonts w:ascii="Times New Roman" w:hAnsi="Times New Roman"/>
          <w:sz w:val="24"/>
          <w:szCs w:val="24"/>
          <w:lang w:val="en-US" w:eastAsia="en-GB"/>
        </w:rPr>
        <w:t xml:space="preserve"> public universities is smaller in Slovenia</w:t>
      </w:r>
      <w:r w:rsidR="0079568A">
        <w:rPr>
          <w:rFonts w:ascii="Times New Roman" w:hAnsi="Times New Roman"/>
          <w:sz w:val="24"/>
          <w:szCs w:val="24"/>
          <w:lang w:val="en-US" w:eastAsia="en-GB"/>
        </w:rPr>
        <w:t xml:space="preserve">, reaching </w:t>
      </w:r>
      <w:r w:rsidR="00C72D36" w:rsidRPr="007D4016">
        <w:rPr>
          <w:rFonts w:ascii="Times New Roman" w:hAnsi="Times New Roman"/>
          <w:sz w:val="24"/>
          <w:szCs w:val="24"/>
          <w:lang w:val="en-US" w:eastAsia="en-GB"/>
        </w:rPr>
        <w:t xml:space="preserve">to </w:t>
      </w:r>
      <w:r w:rsidRPr="007D4016">
        <w:rPr>
          <w:rFonts w:ascii="Times New Roman" w:hAnsi="Times New Roman"/>
          <w:sz w:val="24"/>
          <w:szCs w:val="24"/>
          <w:lang w:val="en-US" w:eastAsia="en-GB"/>
        </w:rPr>
        <w:t>17</w:t>
      </w:r>
      <w:r w:rsidR="0079568A">
        <w:rPr>
          <w:rFonts w:ascii="Times New Roman" w:hAnsi="Times New Roman"/>
          <w:sz w:val="24"/>
          <w:szCs w:val="24"/>
          <w:lang w:val="en-US" w:eastAsia="en-GB"/>
        </w:rPr>
        <w:t xml:space="preserve"> percent</w:t>
      </w:r>
      <w:r w:rsidRPr="007D4016">
        <w:rPr>
          <w:rFonts w:ascii="Times New Roman" w:hAnsi="Times New Roman"/>
          <w:sz w:val="24"/>
          <w:szCs w:val="24"/>
          <w:lang w:val="en-US" w:eastAsia="en-GB"/>
        </w:rPr>
        <w:t xml:space="preserve"> of first and second cycle enrolments in the </w:t>
      </w:r>
      <w:r w:rsidR="0079568A">
        <w:rPr>
          <w:rFonts w:ascii="Times New Roman" w:hAnsi="Times New Roman"/>
          <w:sz w:val="24"/>
          <w:szCs w:val="24"/>
          <w:lang w:val="en-US" w:eastAsia="en-GB"/>
        </w:rPr>
        <w:t xml:space="preserve">2010/11 </w:t>
      </w:r>
      <w:r w:rsidRPr="007D4016">
        <w:rPr>
          <w:rFonts w:ascii="Times New Roman" w:hAnsi="Times New Roman"/>
          <w:sz w:val="24"/>
          <w:szCs w:val="24"/>
          <w:lang w:val="en-US" w:eastAsia="en-GB"/>
        </w:rPr>
        <w:t xml:space="preserve">academic year </w:t>
      </w:r>
      <w:r w:rsidR="004B2E9E" w:rsidRPr="007D4016">
        <w:rPr>
          <w:rFonts w:ascii="Times New Roman" w:hAnsi="Times New Roman"/>
          <w:sz w:val="24"/>
          <w:szCs w:val="24"/>
          <w:lang w:val="en-US" w:eastAsia="en-GB"/>
        </w:rPr>
        <w:t>(Slovenia, 2011</w:t>
      </w:r>
      <w:r w:rsidR="00243F2D">
        <w:rPr>
          <w:rFonts w:ascii="Times New Roman" w:hAnsi="Times New Roman"/>
          <w:sz w:val="24"/>
          <w:szCs w:val="24"/>
          <w:lang w:val="en-US" w:eastAsia="en-GB"/>
        </w:rPr>
        <w:t>a</w:t>
      </w:r>
      <w:r w:rsidR="00DA641C" w:rsidRPr="007D4016">
        <w:rPr>
          <w:rFonts w:ascii="Times New Roman" w:hAnsi="Times New Roman"/>
          <w:sz w:val="24"/>
          <w:szCs w:val="24"/>
          <w:lang w:val="en-US" w:eastAsia="en-GB"/>
        </w:rPr>
        <w:t>, p. 3-4).</w:t>
      </w:r>
      <w:r w:rsidR="00C72D36" w:rsidRPr="007D4016">
        <w:rPr>
          <w:rFonts w:ascii="Times New Roman" w:hAnsi="Times New Roman"/>
          <w:sz w:val="24"/>
          <w:szCs w:val="24"/>
          <w:lang w:val="en-US" w:eastAsia="en-GB"/>
        </w:rPr>
        <w:t xml:space="preserve"> As explained above, these would all be part-time students.</w:t>
      </w:r>
      <w:r w:rsidR="00994953" w:rsidRPr="007D4016">
        <w:rPr>
          <w:rFonts w:ascii="Times New Roman" w:hAnsi="Times New Roman"/>
          <w:sz w:val="24"/>
          <w:szCs w:val="24"/>
          <w:lang w:val="en-US" w:eastAsia="en-GB"/>
        </w:rPr>
        <w:t xml:space="preserve"> </w:t>
      </w:r>
    </w:p>
    <w:p w14:paraId="32A65FF9" w14:textId="08BBE250" w:rsidR="00A50115" w:rsidRPr="007D4016" w:rsidRDefault="00994953" w:rsidP="00A50115">
      <w:pPr>
        <w:spacing w:after="100" w:afterAutospacing="1" w:line="240" w:lineRule="auto"/>
        <w:jc w:val="both"/>
        <w:rPr>
          <w:rFonts w:ascii="Times New Roman" w:hAnsi="Times New Roman"/>
          <w:sz w:val="24"/>
          <w:szCs w:val="24"/>
          <w:lang w:val="en-US"/>
        </w:rPr>
      </w:pPr>
      <w:r w:rsidRPr="007D4016">
        <w:rPr>
          <w:rFonts w:ascii="Times New Roman" w:hAnsi="Times New Roman"/>
          <w:sz w:val="24"/>
          <w:szCs w:val="24"/>
          <w:lang w:val="en-US" w:eastAsia="en-GB"/>
        </w:rPr>
        <w:t xml:space="preserve">In Albania, </w:t>
      </w:r>
      <w:r w:rsidR="00A015F8" w:rsidRPr="007D4016">
        <w:rPr>
          <w:rFonts w:ascii="Times New Roman" w:hAnsi="Times New Roman"/>
          <w:sz w:val="24"/>
          <w:szCs w:val="24"/>
          <w:lang w:val="en-US" w:eastAsia="en-GB"/>
        </w:rPr>
        <w:t>Kosovo</w:t>
      </w:r>
      <w:r w:rsidR="0079568A">
        <w:rPr>
          <w:rFonts w:ascii="Times New Roman" w:hAnsi="Times New Roman"/>
          <w:sz w:val="24"/>
          <w:szCs w:val="24"/>
          <w:lang w:val="en-US" w:eastAsia="en-GB"/>
        </w:rPr>
        <w:t>,</w:t>
      </w:r>
      <w:r w:rsidR="00A015F8" w:rsidRPr="007D4016">
        <w:rPr>
          <w:rFonts w:ascii="Times New Roman" w:hAnsi="Times New Roman"/>
          <w:sz w:val="24"/>
          <w:szCs w:val="24"/>
          <w:lang w:val="en-US" w:eastAsia="en-GB"/>
        </w:rPr>
        <w:t xml:space="preserve"> and Macedonia, public higher education institutions charge tuition fees for full-time undergraduate and graduate programs</w:t>
      </w:r>
      <w:r w:rsidR="007B2662" w:rsidRPr="007D4016">
        <w:rPr>
          <w:rFonts w:ascii="Times New Roman" w:hAnsi="Times New Roman"/>
          <w:sz w:val="24"/>
          <w:szCs w:val="24"/>
          <w:lang w:val="en-US" w:eastAsia="en-GB"/>
        </w:rPr>
        <w:t>. These tuition fees are regulated by the Ministry</w:t>
      </w:r>
      <w:r w:rsidR="00A50115" w:rsidRPr="007D4016">
        <w:rPr>
          <w:rFonts w:ascii="Times New Roman" w:hAnsi="Times New Roman"/>
          <w:sz w:val="24"/>
          <w:szCs w:val="24"/>
          <w:lang w:val="en-US" w:eastAsia="en-GB"/>
        </w:rPr>
        <w:t>. In determining the fee (or different categories of fees)</w:t>
      </w:r>
      <w:r w:rsidR="006B7CD6">
        <w:rPr>
          <w:rFonts w:ascii="Times New Roman" w:hAnsi="Times New Roman"/>
          <w:sz w:val="24"/>
          <w:szCs w:val="24"/>
          <w:lang w:val="en-US" w:eastAsia="en-GB"/>
        </w:rPr>
        <w:t>,</w:t>
      </w:r>
      <w:r w:rsidR="00A50115" w:rsidRPr="007D4016">
        <w:rPr>
          <w:rFonts w:ascii="Times New Roman" w:hAnsi="Times New Roman"/>
          <w:sz w:val="24"/>
          <w:szCs w:val="24"/>
          <w:lang w:val="en-US" w:eastAsia="en-GB"/>
        </w:rPr>
        <w:t xml:space="preserve"> the Ministry follows a cost-sharing principle where a share – typically </w:t>
      </w:r>
      <w:r w:rsidR="00C72D36" w:rsidRPr="007D4016">
        <w:rPr>
          <w:rFonts w:ascii="Times New Roman" w:hAnsi="Times New Roman"/>
          <w:sz w:val="24"/>
          <w:szCs w:val="24"/>
          <w:lang w:val="en-US" w:eastAsia="en-GB"/>
        </w:rPr>
        <w:t xml:space="preserve">the </w:t>
      </w:r>
      <w:r w:rsidR="00A50115" w:rsidRPr="007D4016">
        <w:rPr>
          <w:rFonts w:ascii="Times New Roman" w:hAnsi="Times New Roman"/>
          <w:sz w:val="24"/>
          <w:szCs w:val="24"/>
          <w:lang w:val="en-US" w:eastAsia="en-GB"/>
        </w:rPr>
        <w:t>major share - of the study cost per student is covered from the state budget</w:t>
      </w:r>
      <w:r w:rsidR="007D4016">
        <w:rPr>
          <w:rFonts w:ascii="Times New Roman" w:hAnsi="Times New Roman"/>
          <w:sz w:val="24"/>
          <w:szCs w:val="24"/>
          <w:lang w:val="en-US" w:eastAsia="en-GB"/>
        </w:rPr>
        <w:t>, and the remainder is paid by the student</w:t>
      </w:r>
      <w:r w:rsidR="00A50115" w:rsidRPr="007D4016">
        <w:rPr>
          <w:rFonts w:ascii="Times New Roman" w:hAnsi="Times New Roman"/>
          <w:sz w:val="24"/>
          <w:szCs w:val="24"/>
          <w:lang w:val="en-US" w:eastAsia="en-GB"/>
        </w:rPr>
        <w:t xml:space="preserve">. Consequently, fees </w:t>
      </w:r>
      <w:r w:rsidR="006B7CD6">
        <w:rPr>
          <w:rFonts w:ascii="Times New Roman" w:hAnsi="Times New Roman"/>
          <w:sz w:val="24"/>
          <w:szCs w:val="24"/>
          <w:lang w:val="en-US" w:eastAsia="en-GB"/>
        </w:rPr>
        <w:t>in</w:t>
      </w:r>
      <w:r w:rsidR="00A50115" w:rsidRPr="007D4016">
        <w:rPr>
          <w:rFonts w:ascii="Times New Roman" w:hAnsi="Times New Roman"/>
          <w:sz w:val="24"/>
          <w:szCs w:val="24"/>
          <w:lang w:val="en-US" w:eastAsia="en-GB"/>
        </w:rPr>
        <w:t xml:space="preserve"> public institutions tend to be lower </w:t>
      </w:r>
      <w:r w:rsidR="00C72D36" w:rsidRPr="007D4016">
        <w:rPr>
          <w:rFonts w:ascii="Times New Roman" w:hAnsi="Times New Roman"/>
          <w:sz w:val="24"/>
          <w:szCs w:val="24"/>
          <w:lang w:val="en-US" w:eastAsia="en-GB"/>
        </w:rPr>
        <w:t xml:space="preserve">than </w:t>
      </w:r>
      <w:r w:rsidR="00735C34" w:rsidRPr="007D4016">
        <w:rPr>
          <w:rFonts w:ascii="Times New Roman" w:hAnsi="Times New Roman"/>
          <w:sz w:val="24"/>
          <w:szCs w:val="24"/>
          <w:lang w:val="en-US" w:eastAsia="en-GB"/>
        </w:rPr>
        <w:t xml:space="preserve">fees </w:t>
      </w:r>
      <w:r w:rsidR="006B7CD6">
        <w:rPr>
          <w:rFonts w:ascii="Times New Roman" w:hAnsi="Times New Roman"/>
          <w:sz w:val="24"/>
          <w:szCs w:val="24"/>
          <w:lang w:val="en-US" w:eastAsia="en-GB"/>
        </w:rPr>
        <w:t>in</w:t>
      </w:r>
      <w:r w:rsidR="00735C34" w:rsidRPr="007D4016">
        <w:rPr>
          <w:rFonts w:ascii="Times New Roman" w:hAnsi="Times New Roman"/>
          <w:sz w:val="24"/>
          <w:szCs w:val="24"/>
          <w:lang w:val="en-US" w:eastAsia="en-GB"/>
        </w:rPr>
        <w:t xml:space="preserve"> private institutions, amounting to a third or less of the tuition fee</w:t>
      </w:r>
      <w:r w:rsidR="006B7CD6">
        <w:rPr>
          <w:rFonts w:ascii="Times New Roman" w:hAnsi="Times New Roman"/>
          <w:sz w:val="24"/>
          <w:szCs w:val="24"/>
          <w:lang w:val="en-US" w:eastAsia="en-GB"/>
        </w:rPr>
        <w:t>s</w:t>
      </w:r>
      <w:r w:rsidR="00735C34" w:rsidRPr="007D4016">
        <w:rPr>
          <w:rFonts w:ascii="Times New Roman" w:hAnsi="Times New Roman"/>
          <w:sz w:val="24"/>
          <w:szCs w:val="24"/>
          <w:lang w:val="en-US" w:eastAsia="en-GB"/>
        </w:rPr>
        <w:t xml:space="preserve"> charged at comparable programs </w:t>
      </w:r>
      <w:r w:rsidR="006B7CD6">
        <w:rPr>
          <w:rFonts w:ascii="Times New Roman" w:hAnsi="Times New Roman"/>
          <w:sz w:val="24"/>
          <w:szCs w:val="24"/>
          <w:lang w:val="en-US" w:eastAsia="en-GB"/>
        </w:rPr>
        <w:t>in</w:t>
      </w:r>
      <w:r w:rsidR="00735C34" w:rsidRPr="007D4016">
        <w:rPr>
          <w:rFonts w:ascii="Times New Roman" w:hAnsi="Times New Roman"/>
          <w:sz w:val="24"/>
          <w:szCs w:val="24"/>
          <w:lang w:val="en-US" w:eastAsia="en-GB"/>
        </w:rPr>
        <w:t xml:space="preserve"> private institutions.</w:t>
      </w:r>
      <w:r w:rsidR="00A50115" w:rsidRPr="007D4016">
        <w:rPr>
          <w:rFonts w:ascii="Times New Roman" w:hAnsi="Times New Roman"/>
          <w:sz w:val="24"/>
          <w:szCs w:val="24"/>
          <w:lang w:val="en-US" w:eastAsia="en-GB"/>
        </w:rPr>
        <w:t xml:space="preserve"> Fees </w:t>
      </w:r>
      <w:r w:rsidR="00C72D36" w:rsidRPr="007D4016">
        <w:rPr>
          <w:rFonts w:ascii="Times New Roman" w:hAnsi="Times New Roman"/>
          <w:sz w:val="24"/>
          <w:szCs w:val="24"/>
          <w:lang w:val="en-US" w:eastAsia="en-GB"/>
        </w:rPr>
        <w:t>for</w:t>
      </w:r>
      <w:r w:rsidR="00A50115" w:rsidRPr="007D4016">
        <w:rPr>
          <w:rFonts w:ascii="Times New Roman" w:hAnsi="Times New Roman"/>
          <w:sz w:val="24"/>
          <w:szCs w:val="24"/>
          <w:lang w:val="en-US" w:eastAsia="en-GB"/>
        </w:rPr>
        <w:t xml:space="preserve"> part-time studies </w:t>
      </w:r>
      <w:r w:rsidR="006B7CD6">
        <w:rPr>
          <w:rFonts w:ascii="Times New Roman" w:hAnsi="Times New Roman"/>
          <w:sz w:val="24"/>
          <w:szCs w:val="24"/>
          <w:lang w:val="en-US" w:eastAsia="en-GB"/>
        </w:rPr>
        <w:t>in</w:t>
      </w:r>
      <w:r w:rsidR="00A50115" w:rsidRPr="007D4016">
        <w:rPr>
          <w:rFonts w:ascii="Times New Roman" w:hAnsi="Times New Roman"/>
          <w:sz w:val="24"/>
          <w:szCs w:val="24"/>
          <w:lang w:val="en-US" w:eastAsia="en-GB"/>
        </w:rPr>
        <w:t xml:space="preserve"> public institutions are </w:t>
      </w:r>
      <w:r w:rsidR="00C72D36" w:rsidRPr="007D4016">
        <w:rPr>
          <w:rFonts w:ascii="Times New Roman" w:hAnsi="Times New Roman"/>
          <w:sz w:val="24"/>
          <w:szCs w:val="24"/>
          <w:lang w:val="en-US" w:eastAsia="en-GB"/>
        </w:rPr>
        <w:t xml:space="preserve">higher and </w:t>
      </w:r>
      <w:r w:rsidR="00A50115" w:rsidRPr="007D4016">
        <w:rPr>
          <w:rFonts w:ascii="Times New Roman" w:hAnsi="Times New Roman"/>
          <w:sz w:val="24"/>
          <w:szCs w:val="24"/>
          <w:lang w:val="en-US" w:eastAsia="en-GB"/>
        </w:rPr>
        <w:t xml:space="preserve">more comparable to those charged </w:t>
      </w:r>
      <w:r w:rsidR="006B7CD6">
        <w:rPr>
          <w:rFonts w:ascii="Times New Roman" w:hAnsi="Times New Roman"/>
          <w:sz w:val="24"/>
          <w:szCs w:val="24"/>
          <w:lang w:val="en-US" w:eastAsia="en-GB"/>
        </w:rPr>
        <w:t>by</w:t>
      </w:r>
      <w:r w:rsidR="00A50115" w:rsidRPr="007D4016">
        <w:rPr>
          <w:rFonts w:ascii="Times New Roman" w:hAnsi="Times New Roman"/>
          <w:sz w:val="24"/>
          <w:szCs w:val="24"/>
          <w:lang w:val="en-US" w:eastAsia="en-GB"/>
        </w:rPr>
        <w:t xml:space="preserve"> private institutions, but </w:t>
      </w:r>
      <w:r w:rsidR="00C72D36" w:rsidRPr="007D4016">
        <w:rPr>
          <w:rFonts w:ascii="Times New Roman" w:hAnsi="Times New Roman"/>
          <w:sz w:val="24"/>
          <w:szCs w:val="24"/>
          <w:lang w:val="en-US" w:eastAsia="en-GB"/>
        </w:rPr>
        <w:t xml:space="preserve">such </w:t>
      </w:r>
      <w:r w:rsidR="00A50115" w:rsidRPr="007D4016">
        <w:rPr>
          <w:rFonts w:ascii="Times New Roman" w:hAnsi="Times New Roman"/>
          <w:sz w:val="24"/>
          <w:szCs w:val="24"/>
          <w:lang w:val="en-US" w:eastAsia="en-GB"/>
        </w:rPr>
        <w:t>students present only a small share of all enrolments in all countries</w:t>
      </w:r>
      <w:r w:rsidR="006B7CD6">
        <w:rPr>
          <w:rFonts w:ascii="Times New Roman" w:hAnsi="Times New Roman"/>
          <w:sz w:val="24"/>
          <w:szCs w:val="24"/>
          <w:lang w:val="en-US" w:eastAsia="en-GB"/>
        </w:rPr>
        <w:t xml:space="preserve"> of the region</w:t>
      </w:r>
      <w:r w:rsidR="00A50115" w:rsidRPr="007D4016">
        <w:rPr>
          <w:rFonts w:ascii="Times New Roman" w:hAnsi="Times New Roman"/>
          <w:sz w:val="24"/>
          <w:szCs w:val="24"/>
          <w:lang w:val="en-US" w:eastAsia="en-GB"/>
        </w:rPr>
        <w:t>.</w:t>
      </w:r>
    </w:p>
    <w:p w14:paraId="33BCB0E5" w14:textId="498F746A" w:rsidR="009A53FE" w:rsidRPr="007D4016" w:rsidRDefault="00A50115" w:rsidP="009A53FE">
      <w:pPr>
        <w:spacing w:after="100" w:afterAutospacing="1" w:line="240" w:lineRule="auto"/>
        <w:jc w:val="both"/>
        <w:rPr>
          <w:rFonts w:ascii="Times New Roman" w:hAnsi="Times New Roman"/>
          <w:sz w:val="24"/>
          <w:szCs w:val="24"/>
          <w:lang w:val="en-US"/>
        </w:rPr>
      </w:pPr>
      <w:r w:rsidRPr="007D4016">
        <w:rPr>
          <w:rFonts w:ascii="Times New Roman" w:hAnsi="Times New Roman"/>
          <w:sz w:val="24"/>
          <w:szCs w:val="24"/>
          <w:lang w:val="en-US" w:eastAsia="en-GB"/>
        </w:rPr>
        <w:t xml:space="preserve">Thus, higher education in the region is still predominantly free or </w:t>
      </w:r>
      <w:r w:rsidR="00C72D36" w:rsidRPr="007D4016">
        <w:rPr>
          <w:rFonts w:ascii="Times New Roman" w:hAnsi="Times New Roman"/>
          <w:sz w:val="24"/>
          <w:szCs w:val="24"/>
          <w:lang w:val="en-US" w:eastAsia="en-GB"/>
        </w:rPr>
        <w:t>characterized by</w:t>
      </w:r>
      <w:r w:rsidRPr="007D4016">
        <w:rPr>
          <w:rFonts w:ascii="Times New Roman" w:hAnsi="Times New Roman"/>
          <w:sz w:val="24"/>
          <w:szCs w:val="24"/>
          <w:lang w:val="en-US" w:eastAsia="en-GB"/>
        </w:rPr>
        <w:t xml:space="preserve"> low tuition</w:t>
      </w:r>
      <w:r w:rsidR="006B7CD6">
        <w:rPr>
          <w:rFonts w:ascii="Times New Roman" w:hAnsi="Times New Roman"/>
          <w:sz w:val="24"/>
          <w:szCs w:val="24"/>
          <w:lang w:val="en-US" w:eastAsia="en-GB"/>
        </w:rPr>
        <w:t xml:space="preserve"> fee</w:t>
      </w:r>
      <w:r w:rsidRPr="007D4016">
        <w:rPr>
          <w:rFonts w:ascii="Times New Roman" w:hAnsi="Times New Roman"/>
          <w:sz w:val="24"/>
          <w:szCs w:val="24"/>
          <w:lang w:val="en-US" w:eastAsia="en-GB"/>
        </w:rPr>
        <w:t xml:space="preserve">s in the public sector. The </w:t>
      </w:r>
      <w:r w:rsidR="006B7CD6">
        <w:rPr>
          <w:rFonts w:ascii="Times New Roman" w:hAnsi="Times New Roman"/>
          <w:sz w:val="24"/>
          <w:szCs w:val="24"/>
          <w:lang w:val="en-US" w:eastAsia="en-GB"/>
        </w:rPr>
        <w:t>issue of</w:t>
      </w:r>
      <w:r w:rsidRPr="007D4016">
        <w:rPr>
          <w:rFonts w:ascii="Times New Roman" w:hAnsi="Times New Roman"/>
          <w:sz w:val="24"/>
          <w:szCs w:val="24"/>
          <w:lang w:val="en-US" w:eastAsia="en-GB"/>
        </w:rPr>
        <w:t xml:space="preserve"> </w:t>
      </w:r>
      <w:r w:rsidR="00C72D36" w:rsidRPr="007D4016">
        <w:rPr>
          <w:rFonts w:ascii="Times New Roman" w:hAnsi="Times New Roman"/>
          <w:sz w:val="24"/>
          <w:szCs w:val="24"/>
          <w:lang w:val="en-US" w:eastAsia="en-GB"/>
        </w:rPr>
        <w:t xml:space="preserve">the </w:t>
      </w:r>
      <w:r w:rsidRPr="007D4016">
        <w:rPr>
          <w:rFonts w:ascii="Times New Roman" w:hAnsi="Times New Roman"/>
          <w:sz w:val="24"/>
          <w:szCs w:val="24"/>
          <w:lang w:val="en-US" w:eastAsia="en-GB"/>
        </w:rPr>
        <w:t xml:space="preserve">introduction </w:t>
      </w:r>
      <w:r w:rsidR="00C72D36" w:rsidRPr="007D4016">
        <w:rPr>
          <w:rFonts w:ascii="Times New Roman" w:hAnsi="Times New Roman"/>
          <w:sz w:val="24"/>
          <w:szCs w:val="24"/>
          <w:lang w:val="en-US" w:eastAsia="en-GB"/>
        </w:rPr>
        <w:t xml:space="preserve">of </w:t>
      </w:r>
      <w:r w:rsidRPr="007D4016">
        <w:rPr>
          <w:rFonts w:ascii="Times New Roman" w:hAnsi="Times New Roman"/>
          <w:sz w:val="24"/>
          <w:szCs w:val="24"/>
          <w:lang w:val="en-US" w:eastAsia="en-GB"/>
        </w:rPr>
        <w:t>or increase in tuition fees for full-time undergraduate students</w:t>
      </w:r>
      <w:r w:rsidR="00735C34" w:rsidRPr="007D4016">
        <w:rPr>
          <w:rFonts w:ascii="Times New Roman" w:hAnsi="Times New Roman"/>
          <w:sz w:val="24"/>
          <w:szCs w:val="24"/>
          <w:lang w:val="en-US" w:eastAsia="en-GB"/>
        </w:rPr>
        <w:t xml:space="preserve"> </w:t>
      </w:r>
      <w:r w:rsidR="00C72D36" w:rsidRPr="007D4016">
        <w:rPr>
          <w:rFonts w:ascii="Times New Roman" w:hAnsi="Times New Roman"/>
          <w:sz w:val="24"/>
          <w:szCs w:val="24"/>
          <w:lang w:val="en-US" w:eastAsia="en-GB"/>
        </w:rPr>
        <w:t>(</w:t>
      </w:r>
      <w:r w:rsidR="00735C34" w:rsidRPr="007D4016">
        <w:rPr>
          <w:rFonts w:ascii="Times New Roman" w:hAnsi="Times New Roman"/>
          <w:sz w:val="24"/>
          <w:szCs w:val="24"/>
          <w:lang w:val="en-US" w:eastAsia="en-GB"/>
        </w:rPr>
        <w:t>and related questions of</w:t>
      </w:r>
      <w:r w:rsidRPr="007D4016">
        <w:rPr>
          <w:rFonts w:ascii="Times New Roman" w:hAnsi="Times New Roman"/>
          <w:sz w:val="24"/>
          <w:szCs w:val="24"/>
          <w:lang w:val="en-US" w:eastAsia="en-GB"/>
        </w:rPr>
        <w:t xml:space="preserve"> study</w:t>
      </w:r>
      <w:r w:rsidR="006B7CD6">
        <w:rPr>
          <w:rFonts w:ascii="Times New Roman" w:hAnsi="Times New Roman"/>
          <w:sz w:val="24"/>
          <w:szCs w:val="24"/>
          <w:lang w:val="en-US" w:eastAsia="en-GB"/>
        </w:rPr>
        <w:t xml:space="preserve"> </w:t>
      </w:r>
      <w:r w:rsidRPr="007D4016">
        <w:rPr>
          <w:rFonts w:ascii="Times New Roman" w:hAnsi="Times New Roman"/>
          <w:sz w:val="24"/>
          <w:szCs w:val="24"/>
          <w:lang w:val="en-US" w:eastAsia="en-GB"/>
        </w:rPr>
        <w:t>cost per student, cost</w:t>
      </w:r>
      <w:r w:rsidR="00C72D36" w:rsidRPr="007D4016">
        <w:rPr>
          <w:rFonts w:ascii="Times New Roman" w:hAnsi="Times New Roman"/>
          <w:sz w:val="24"/>
          <w:szCs w:val="24"/>
          <w:lang w:val="en-US" w:eastAsia="en-GB"/>
        </w:rPr>
        <w:t>-</w:t>
      </w:r>
      <w:r w:rsidRPr="007D4016">
        <w:rPr>
          <w:rFonts w:ascii="Times New Roman" w:hAnsi="Times New Roman"/>
          <w:sz w:val="24"/>
          <w:szCs w:val="24"/>
          <w:lang w:val="en-US" w:eastAsia="en-GB"/>
        </w:rPr>
        <w:t>sharing</w:t>
      </w:r>
      <w:r w:rsidR="006B7CD6">
        <w:rPr>
          <w:rFonts w:ascii="Times New Roman" w:hAnsi="Times New Roman"/>
          <w:sz w:val="24"/>
          <w:szCs w:val="24"/>
          <w:lang w:val="en-US" w:eastAsia="en-GB"/>
        </w:rPr>
        <w:t>,</w:t>
      </w:r>
      <w:r w:rsidRPr="007D4016">
        <w:rPr>
          <w:rFonts w:ascii="Times New Roman" w:hAnsi="Times New Roman"/>
          <w:sz w:val="24"/>
          <w:szCs w:val="24"/>
          <w:lang w:val="en-US" w:eastAsia="en-GB"/>
        </w:rPr>
        <w:t xml:space="preserve"> and economic benefits of undergraduate degree</w:t>
      </w:r>
      <w:r w:rsidR="00C72D36" w:rsidRPr="007D4016">
        <w:rPr>
          <w:rFonts w:ascii="Times New Roman" w:hAnsi="Times New Roman"/>
          <w:sz w:val="24"/>
          <w:szCs w:val="24"/>
          <w:lang w:val="en-US" w:eastAsia="en-GB"/>
        </w:rPr>
        <w:t>)</w:t>
      </w:r>
      <w:r w:rsidRPr="007D4016">
        <w:rPr>
          <w:rFonts w:ascii="Times New Roman" w:hAnsi="Times New Roman"/>
          <w:sz w:val="24"/>
          <w:szCs w:val="24"/>
          <w:lang w:val="en-US" w:eastAsia="en-GB"/>
        </w:rPr>
        <w:t xml:space="preserve"> will</w:t>
      </w:r>
      <w:r w:rsidR="00735C34" w:rsidRPr="007D4016">
        <w:rPr>
          <w:rFonts w:ascii="Times New Roman" w:hAnsi="Times New Roman"/>
          <w:sz w:val="24"/>
          <w:szCs w:val="24"/>
          <w:lang w:val="en-US" w:eastAsia="en-GB"/>
        </w:rPr>
        <w:t xml:space="preserve"> undoubtedly be raised as the region consider</w:t>
      </w:r>
      <w:r w:rsidR="006B7CD6">
        <w:rPr>
          <w:rFonts w:ascii="Times New Roman" w:hAnsi="Times New Roman"/>
          <w:sz w:val="24"/>
          <w:szCs w:val="24"/>
          <w:lang w:val="en-US" w:eastAsia="en-GB"/>
        </w:rPr>
        <w:t>s</w:t>
      </w:r>
      <w:r w:rsidR="00735C34" w:rsidRPr="007D4016">
        <w:rPr>
          <w:rFonts w:ascii="Times New Roman" w:hAnsi="Times New Roman"/>
          <w:sz w:val="24"/>
          <w:szCs w:val="24"/>
          <w:lang w:val="en-US" w:eastAsia="en-GB"/>
        </w:rPr>
        <w:t xml:space="preserve"> </w:t>
      </w:r>
      <w:r w:rsidR="007D4016">
        <w:rPr>
          <w:rFonts w:ascii="Times New Roman" w:hAnsi="Times New Roman"/>
          <w:sz w:val="24"/>
          <w:szCs w:val="24"/>
          <w:lang w:val="en-US" w:eastAsia="en-GB"/>
        </w:rPr>
        <w:t xml:space="preserve">further </w:t>
      </w:r>
      <w:r w:rsidR="00735C34" w:rsidRPr="007D4016">
        <w:rPr>
          <w:rFonts w:ascii="Times New Roman" w:hAnsi="Times New Roman"/>
          <w:sz w:val="24"/>
          <w:szCs w:val="24"/>
          <w:lang w:val="en-US" w:eastAsia="en-GB"/>
        </w:rPr>
        <w:t xml:space="preserve">reforms in </w:t>
      </w:r>
      <w:r w:rsidR="00C72D36" w:rsidRPr="007D4016">
        <w:rPr>
          <w:rFonts w:ascii="Times New Roman" w:hAnsi="Times New Roman"/>
          <w:sz w:val="24"/>
          <w:szCs w:val="24"/>
          <w:lang w:val="en-US" w:eastAsia="en-GB"/>
        </w:rPr>
        <w:t xml:space="preserve">the </w:t>
      </w:r>
      <w:r w:rsidR="00735C34" w:rsidRPr="007D4016">
        <w:rPr>
          <w:rFonts w:ascii="Times New Roman" w:hAnsi="Times New Roman"/>
          <w:sz w:val="24"/>
          <w:szCs w:val="24"/>
          <w:lang w:val="en-US" w:eastAsia="en-GB"/>
        </w:rPr>
        <w:t xml:space="preserve">financing of higher education. </w:t>
      </w:r>
      <w:r w:rsidR="009A53FE" w:rsidRPr="007D4016">
        <w:rPr>
          <w:rFonts w:ascii="Times New Roman" w:eastAsiaTheme="minorHAnsi" w:hAnsi="Times New Roman"/>
          <w:sz w:val="24"/>
          <w:szCs w:val="24"/>
          <w:lang w:val="en-US"/>
        </w:rPr>
        <w:t xml:space="preserve">However, changes in tuition fee regimes are </w:t>
      </w:r>
      <w:r w:rsidR="00C72D36" w:rsidRPr="007D4016">
        <w:rPr>
          <w:rFonts w:ascii="Times New Roman" w:eastAsiaTheme="minorHAnsi" w:hAnsi="Times New Roman"/>
          <w:sz w:val="24"/>
          <w:szCs w:val="24"/>
          <w:lang w:val="en-US"/>
        </w:rPr>
        <w:t>politically</w:t>
      </w:r>
      <w:r w:rsidR="009A53FE" w:rsidRPr="007D4016">
        <w:rPr>
          <w:rFonts w:ascii="Times New Roman" w:eastAsiaTheme="minorHAnsi" w:hAnsi="Times New Roman"/>
          <w:sz w:val="24"/>
          <w:szCs w:val="24"/>
          <w:lang w:val="en-US"/>
        </w:rPr>
        <w:t xml:space="preserve"> sensitive, especially in countries with strong and legitimate student unions. Judging from the survey of academics in the region, it is questionable whether governments will seek to introduce tuition fees for full-time students in countries where this is not yet the case. </w:t>
      </w:r>
      <w:r w:rsidR="006B7CD6">
        <w:rPr>
          <w:rFonts w:ascii="Times New Roman" w:eastAsiaTheme="minorHAnsi" w:hAnsi="Times New Roman"/>
          <w:sz w:val="24"/>
          <w:szCs w:val="24"/>
          <w:lang w:val="en-US"/>
        </w:rPr>
        <w:t xml:space="preserve">As Figure 3 illustrates, </w:t>
      </w:r>
      <w:r w:rsidR="009A53FE" w:rsidRPr="007D4016">
        <w:rPr>
          <w:rFonts w:ascii="Times New Roman" w:hAnsi="Times New Roman"/>
          <w:sz w:val="24"/>
          <w:szCs w:val="24"/>
          <w:lang w:val="en-US"/>
        </w:rPr>
        <w:t xml:space="preserve">the highest share of academics </w:t>
      </w:r>
      <w:r w:rsidR="006B7CD6">
        <w:rPr>
          <w:rFonts w:ascii="Times New Roman" w:hAnsi="Times New Roman"/>
          <w:sz w:val="24"/>
          <w:szCs w:val="24"/>
          <w:lang w:val="en-US"/>
        </w:rPr>
        <w:t>supporting the introduction of</w:t>
      </w:r>
      <w:r w:rsidR="006B7CD6" w:rsidRPr="007D4016">
        <w:rPr>
          <w:rFonts w:ascii="Times New Roman" w:hAnsi="Times New Roman"/>
          <w:sz w:val="24"/>
          <w:szCs w:val="24"/>
          <w:lang w:val="en-US"/>
        </w:rPr>
        <w:t xml:space="preserve"> </w:t>
      </w:r>
      <w:r w:rsidR="009A53FE" w:rsidRPr="007D4016">
        <w:rPr>
          <w:rFonts w:ascii="Times New Roman" w:hAnsi="Times New Roman"/>
          <w:sz w:val="24"/>
          <w:szCs w:val="24"/>
          <w:lang w:val="en-US"/>
        </w:rPr>
        <w:t xml:space="preserve">tuition fees was in </w:t>
      </w:r>
      <w:r w:rsidR="007858CB" w:rsidRPr="007D4016">
        <w:rPr>
          <w:rFonts w:ascii="Times New Roman" w:hAnsi="Times New Roman"/>
          <w:sz w:val="24"/>
          <w:szCs w:val="24"/>
          <w:lang w:val="en-US"/>
        </w:rPr>
        <w:t>countries which already charge tuition fees</w:t>
      </w:r>
      <w:r w:rsidR="006B7CD6">
        <w:rPr>
          <w:rFonts w:ascii="Times New Roman" w:hAnsi="Times New Roman"/>
          <w:sz w:val="24"/>
          <w:szCs w:val="24"/>
          <w:lang w:val="en-US"/>
        </w:rPr>
        <w:t xml:space="preserve">, including </w:t>
      </w:r>
      <w:r w:rsidR="007858CB" w:rsidRPr="007D4016">
        <w:rPr>
          <w:rFonts w:ascii="Times New Roman" w:hAnsi="Times New Roman"/>
          <w:sz w:val="24"/>
          <w:szCs w:val="24"/>
          <w:lang w:val="en-US"/>
        </w:rPr>
        <w:t>Kosovo (83%) and Macedonia (65</w:t>
      </w:r>
      <w:r w:rsidR="009A53FE" w:rsidRPr="007D4016">
        <w:rPr>
          <w:rFonts w:ascii="Times New Roman" w:hAnsi="Times New Roman"/>
          <w:sz w:val="24"/>
          <w:szCs w:val="24"/>
          <w:lang w:val="en-US"/>
        </w:rPr>
        <w:t>%)</w:t>
      </w:r>
      <w:r w:rsidR="007858CB" w:rsidRPr="007D4016">
        <w:rPr>
          <w:rFonts w:ascii="Times New Roman" w:hAnsi="Times New Roman"/>
          <w:sz w:val="24"/>
          <w:szCs w:val="24"/>
          <w:lang w:val="en-US"/>
        </w:rPr>
        <w:t xml:space="preserve"> </w:t>
      </w:r>
      <w:r w:rsidR="009A53FE" w:rsidRPr="007D4016">
        <w:rPr>
          <w:rFonts w:ascii="Times New Roman" w:hAnsi="Times New Roman"/>
          <w:sz w:val="24"/>
          <w:szCs w:val="24"/>
          <w:lang w:val="en-US"/>
        </w:rPr>
        <w:t>and the lowest in Serbia (27%) and Croati</w:t>
      </w:r>
      <w:r w:rsidR="007858CB" w:rsidRPr="007D4016">
        <w:rPr>
          <w:rFonts w:ascii="Times New Roman" w:hAnsi="Times New Roman"/>
          <w:sz w:val="24"/>
          <w:szCs w:val="24"/>
          <w:lang w:val="en-US"/>
        </w:rPr>
        <w:t>a (28</w:t>
      </w:r>
      <w:r w:rsidR="009A53FE" w:rsidRPr="007D4016">
        <w:rPr>
          <w:rFonts w:ascii="Times New Roman" w:hAnsi="Times New Roman"/>
          <w:sz w:val="24"/>
          <w:szCs w:val="24"/>
          <w:lang w:val="en-US"/>
        </w:rPr>
        <w:t xml:space="preserve">%) </w:t>
      </w:r>
      <w:r w:rsidR="00E94582" w:rsidRPr="007D4016">
        <w:rPr>
          <w:rFonts w:ascii="Times New Roman" w:hAnsi="Times New Roman"/>
          <w:sz w:val="24"/>
          <w:szCs w:val="24"/>
          <w:lang w:val="en-US"/>
        </w:rPr>
        <w:t>(see Figure 3 below).</w:t>
      </w:r>
      <w:r w:rsidR="009A53FE" w:rsidRPr="007D4016">
        <w:rPr>
          <w:rFonts w:ascii="Times New Roman" w:hAnsi="Times New Roman"/>
          <w:sz w:val="24"/>
          <w:szCs w:val="24"/>
          <w:lang w:val="en-US"/>
        </w:rPr>
        <w:t xml:space="preserve"> </w:t>
      </w:r>
    </w:p>
    <w:p w14:paraId="68DB0812" w14:textId="1F71F016" w:rsidR="00735C34" w:rsidRPr="007D4016" w:rsidRDefault="00735C34" w:rsidP="009A53FE">
      <w:pPr>
        <w:spacing w:after="100" w:afterAutospacing="1" w:line="240" w:lineRule="auto"/>
        <w:jc w:val="both"/>
        <w:rPr>
          <w:rFonts w:ascii="Times New Roman" w:eastAsiaTheme="minorHAnsi" w:hAnsi="Times New Roman"/>
          <w:sz w:val="24"/>
          <w:szCs w:val="24"/>
          <w:lang w:val="en-US"/>
        </w:rPr>
      </w:pPr>
      <w:r w:rsidRPr="007D4016">
        <w:rPr>
          <w:rFonts w:ascii="Times New Roman" w:hAnsi="Times New Roman"/>
          <w:sz w:val="24"/>
          <w:szCs w:val="24"/>
          <w:lang w:val="en-US"/>
        </w:rPr>
        <w:t>Figure 3</w:t>
      </w:r>
      <w:r w:rsidR="006B7CD6">
        <w:rPr>
          <w:rFonts w:ascii="Times New Roman" w:hAnsi="Times New Roman"/>
          <w:sz w:val="24"/>
          <w:szCs w:val="24"/>
          <w:lang w:val="en-US"/>
        </w:rPr>
        <w:t>.</w:t>
      </w:r>
      <w:r w:rsidRPr="007D4016">
        <w:rPr>
          <w:rFonts w:ascii="Times New Roman" w:hAnsi="Times New Roman"/>
          <w:sz w:val="24"/>
          <w:szCs w:val="24"/>
          <w:lang w:val="en-US"/>
        </w:rPr>
        <w:t xml:space="preserve"> Higher education should also be financed by full-time students through tuition fees (N=1</w:t>
      </w:r>
      <w:r w:rsidR="00E83F04" w:rsidRPr="007D4016">
        <w:rPr>
          <w:rFonts w:ascii="Times New Roman" w:hAnsi="Times New Roman"/>
          <w:sz w:val="24"/>
          <w:szCs w:val="24"/>
          <w:lang w:val="en-US"/>
        </w:rPr>
        <w:t>,</w:t>
      </w:r>
      <w:r w:rsidRPr="007D4016">
        <w:rPr>
          <w:rFonts w:ascii="Times New Roman" w:hAnsi="Times New Roman"/>
          <w:sz w:val="24"/>
          <w:szCs w:val="24"/>
          <w:lang w:val="en-US"/>
        </w:rPr>
        <w:t>742</w:t>
      </w:r>
      <w:r w:rsidR="00E83F04" w:rsidRPr="007D4016">
        <w:rPr>
          <w:rFonts w:ascii="Times New Roman" w:hAnsi="Times New Roman"/>
          <w:sz w:val="24"/>
          <w:szCs w:val="24"/>
          <w:lang w:val="en-US"/>
        </w:rPr>
        <w:t xml:space="preserve">; </w:t>
      </w:r>
      <w:r w:rsidR="00CB3075" w:rsidRPr="007D4016">
        <w:rPr>
          <w:rFonts w:ascii="Times New Roman" w:hAnsi="Times New Roman"/>
          <w:sz w:val="24"/>
          <w:szCs w:val="24"/>
          <w:lang w:val="en-US"/>
        </w:rPr>
        <w:t>Zgaga et al.</w:t>
      </w:r>
      <w:r w:rsidR="00E83F04" w:rsidRPr="007D4016">
        <w:rPr>
          <w:rFonts w:ascii="Times New Roman" w:hAnsi="Times New Roman"/>
          <w:sz w:val="24"/>
          <w:szCs w:val="24"/>
          <w:lang w:val="en-US"/>
        </w:rPr>
        <w:t>, 2012</w:t>
      </w:r>
      <w:r w:rsidRPr="007D4016">
        <w:rPr>
          <w:rFonts w:ascii="Times New Roman" w:hAnsi="Times New Roman"/>
          <w:sz w:val="24"/>
          <w:szCs w:val="24"/>
          <w:lang w:val="en-US"/>
        </w:rPr>
        <w:t>)</w:t>
      </w:r>
    </w:p>
    <w:p w14:paraId="35D1944C" w14:textId="77777777" w:rsidR="00AB13E2" w:rsidRDefault="005F73F6" w:rsidP="00026BF7">
      <w:pPr>
        <w:spacing w:after="100" w:afterAutospacing="1" w:line="240" w:lineRule="auto"/>
        <w:jc w:val="both"/>
        <w:rPr>
          <w:lang w:val="en-US" w:eastAsia="en-GB"/>
        </w:rPr>
      </w:pPr>
      <w:r w:rsidRPr="007D4016">
        <w:rPr>
          <w:rFonts w:ascii="Times New Roman" w:hAnsi="Times New Roman"/>
          <w:noProof/>
          <w:sz w:val="24"/>
          <w:szCs w:val="24"/>
          <w:lang w:eastAsia="en-GB"/>
        </w:rPr>
        <w:drawing>
          <wp:inline distT="0" distB="0" distL="0" distR="0" wp14:anchorId="4B221D28" wp14:editId="76C57680">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43307D1" w14:textId="77777777" w:rsidR="00E94582" w:rsidRPr="007D4016" w:rsidRDefault="00E94582" w:rsidP="00E94582">
      <w:pPr>
        <w:pStyle w:val="Heading2"/>
        <w:rPr>
          <w:rFonts w:ascii="Times New Roman" w:hAnsi="Times New Roman" w:cs="Times New Roman"/>
          <w:b w:val="0"/>
          <w:i/>
          <w:color w:val="000000" w:themeColor="text1"/>
          <w:sz w:val="24"/>
          <w:szCs w:val="24"/>
          <w:lang w:val="en-US" w:eastAsia="en-GB"/>
        </w:rPr>
      </w:pPr>
      <w:r w:rsidRPr="007D4016">
        <w:rPr>
          <w:rFonts w:ascii="Times New Roman" w:hAnsi="Times New Roman" w:cs="Times New Roman"/>
          <w:b w:val="0"/>
          <w:i/>
          <w:color w:val="000000" w:themeColor="text1"/>
          <w:sz w:val="24"/>
          <w:szCs w:val="24"/>
          <w:lang w:val="en-US" w:eastAsia="en-GB"/>
        </w:rPr>
        <w:t xml:space="preserve">Revenues from </w:t>
      </w:r>
      <w:r w:rsidR="00777EA4" w:rsidRPr="007D4016">
        <w:rPr>
          <w:rFonts w:ascii="Times New Roman" w:hAnsi="Times New Roman" w:cs="Times New Roman"/>
          <w:b w:val="0"/>
          <w:i/>
          <w:color w:val="000000" w:themeColor="text1"/>
          <w:sz w:val="24"/>
          <w:szCs w:val="24"/>
          <w:lang w:val="en-US" w:eastAsia="en-GB"/>
        </w:rPr>
        <w:t>strengthening cooperation with industry</w:t>
      </w:r>
    </w:p>
    <w:p w14:paraId="74BFBF74" w14:textId="2B60899B" w:rsidR="00DB002A" w:rsidRPr="007D4016" w:rsidRDefault="00FA16D5" w:rsidP="00FC0EED">
      <w:pPr>
        <w:autoSpaceDE w:val="0"/>
        <w:autoSpaceDN w:val="0"/>
        <w:adjustRightInd w:val="0"/>
        <w:spacing w:after="0"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All higher education laws in the region stipulate that public institutions may also earn revenue from commercial activities, including cooperation with industry. Knowledge transfer activities are, however, at very different levels of development across the region, significantly more in both EU member states (Slovenia and Croatia) than in other countries</w:t>
      </w:r>
      <w:r w:rsidR="007D4016">
        <w:rPr>
          <w:rFonts w:ascii="Times New Roman" w:hAnsi="Times New Roman"/>
          <w:sz w:val="24"/>
          <w:szCs w:val="24"/>
          <w:lang w:val="en-US" w:eastAsia="en-GB"/>
        </w:rPr>
        <w:t xml:space="preserve"> where investment into r</w:t>
      </w:r>
      <w:r w:rsidR="00554107" w:rsidRPr="007D4016">
        <w:rPr>
          <w:rFonts w:ascii="Times New Roman" w:hAnsi="Times New Roman"/>
          <w:sz w:val="24"/>
          <w:szCs w:val="24"/>
          <w:lang w:val="en-US" w:eastAsia="en-GB"/>
        </w:rPr>
        <w:t xml:space="preserve">esearch </w:t>
      </w:r>
      <w:r w:rsidR="007D4016">
        <w:rPr>
          <w:rFonts w:ascii="Times New Roman" w:hAnsi="Times New Roman"/>
          <w:sz w:val="24"/>
          <w:szCs w:val="24"/>
          <w:lang w:val="en-US" w:eastAsia="en-GB"/>
        </w:rPr>
        <w:t>and d</w:t>
      </w:r>
      <w:r w:rsidR="00554107" w:rsidRPr="007D4016">
        <w:rPr>
          <w:rFonts w:ascii="Times New Roman" w:hAnsi="Times New Roman"/>
          <w:sz w:val="24"/>
          <w:szCs w:val="24"/>
          <w:lang w:val="en-US" w:eastAsia="en-GB"/>
        </w:rPr>
        <w:t xml:space="preserve">evelopment </w:t>
      </w:r>
      <w:r w:rsidR="00C72D36" w:rsidRPr="007D4016">
        <w:rPr>
          <w:rFonts w:ascii="Times New Roman" w:hAnsi="Times New Roman"/>
          <w:sz w:val="24"/>
          <w:szCs w:val="24"/>
          <w:lang w:val="en-US" w:eastAsia="en-GB"/>
        </w:rPr>
        <w:t>is lower</w:t>
      </w:r>
      <w:r w:rsidR="007D4016">
        <w:rPr>
          <w:rFonts w:ascii="Times New Roman" w:hAnsi="Times New Roman"/>
          <w:sz w:val="24"/>
          <w:szCs w:val="24"/>
          <w:lang w:val="en-US" w:eastAsia="en-GB"/>
        </w:rPr>
        <w:t xml:space="preserve"> and institutional capacities weaker (European Commission, 2013)</w:t>
      </w:r>
      <w:r w:rsidRPr="007D4016">
        <w:rPr>
          <w:rFonts w:ascii="Times New Roman" w:hAnsi="Times New Roman"/>
          <w:sz w:val="24"/>
          <w:szCs w:val="24"/>
          <w:lang w:val="en-US" w:eastAsia="en-GB"/>
        </w:rPr>
        <w:t xml:space="preserve">. In all the examined countries, however, governments have </w:t>
      </w:r>
      <w:r w:rsidR="007D4016">
        <w:rPr>
          <w:rFonts w:ascii="Times New Roman" w:hAnsi="Times New Roman"/>
          <w:sz w:val="24"/>
          <w:szCs w:val="24"/>
          <w:lang w:val="en-US" w:eastAsia="en-GB"/>
        </w:rPr>
        <w:t>developed</w:t>
      </w:r>
      <w:r w:rsidRPr="007D4016">
        <w:rPr>
          <w:rFonts w:ascii="Times New Roman" w:hAnsi="Times New Roman"/>
          <w:sz w:val="24"/>
          <w:szCs w:val="24"/>
          <w:lang w:val="en-US" w:eastAsia="en-GB"/>
        </w:rPr>
        <w:t xml:space="preserve"> policy frameworks to prom</w:t>
      </w:r>
      <w:r w:rsidR="00222DC0">
        <w:rPr>
          <w:rFonts w:ascii="Times New Roman" w:hAnsi="Times New Roman"/>
          <w:sz w:val="24"/>
          <w:szCs w:val="24"/>
          <w:lang w:val="en-US" w:eastAsia="en-GB"/>
        </w:rPr>
        <w:t>ote</w:t>
      </w:r>
      <w:r w:rsidRPr="007D4016">
        <w:rPr>
          <w:rFonts w:ascii="Times New Roman" w:hAnsi="Times New Roman"/>
          <w:sz w:val="24"/>
          <w:szCs w:val="24"/>
          <w:lang w:val="en-US" w:eastAsia="en-GB"/>
        </w:rPr>
        <w:t xml:space="preserve"> univers</w:t>
      </w:r>
      <w:r w:rsidR="007D4016">
        <w:rPr>
          <w:rFonts w:ascii="Times New Roman" w:hAnsi="Times New Roman"/>
          <w:sz w:val="24"/>
          <w:szCs w:val="24"/>
          <w:lang w:val="en-US" w:eastAsia="en-GB"/>
        </w:rPr>
        <w:t>ity-industry knowledge transfer</w:t>
      </w:r>
      <w:r w:rsidRPr="007D4016">
        <w:rPr>
          <w:rFonts w:ascii="Times New Roman" w:hAnsi="Times New Roman"/>
          <w:sz w:val="24"/>
          <w:szCs w:val="24"/>
          <w:lang w:val="en-US" w:eastAsia="en-GB"/>
        </w:rPr>
        <w:t>, intellectual property management</w:t>
      </w:r>
      <w:r w:rsidR="00222DC0">
        <w:rPr>
          <w:rFonts w:ascii="Times New Roman" w:hAnsi="Times New Roman"/>
          <w:sz w:val="24"/>
          <w:szCs w:val="24"/>
          <w:lang w:val="en-US" w:eastAsia="en-GB"/>
        </w:rPr>
        <w:t>,</w:t>
      </w:r>
      <w:r w:rsidRPr="007D4016">
        <w:rPr>
          <w:rFonts w:ascii="Times New Roman" w:hAnsi="Times New Roman"/>
          <w:sz w:val="24"/>
          <w:szCs w:val="24"/>
          <w:lang w:val="en-US" w:eastAsia="en-GB"/>
        </w:rPr>
        <w:t xml:space="preserve"> and spin-offs. The impetus and prescriptive </w:t>
      </w:r>
      <w:r w:rsidR="008208BC" w:rsidRPr="007D4016">
        <w:rPr>
          <w:rFonts w:ascii="Times New Roman" w:hAnsi="Times New Roman"/>
          <w:sz w:val="24"/>
          <w:szCs w:val="24"/>
          <w:lang w:val="en-US" w:eastAsia="en-GB"/>
        </w:rPr>
        <w:t>advice</w:t>
      </w:r>
      <w:r w:rsidRPr="007D4016">
        <w:rPr>
          <w:rFonts w:ascii="Times New Roman" w:hAnsi="Times New Roman"/>
          <w:sz w:val="24"/>
          <w:szCs w:val="24"/>
          <w:lang w:val="en-US" w:eastAsia="en-GB"/>
        </w:rPr>
        <w:t xml:space="preserve"> for these developments comes </w:t>
      </w:r>
      <w:r w:rsidR="00FC0EED" w:rsidRPr="007D4016">
        <w:rPr>
          <w:rFonts w:ascii="Times New Roman" w:hAnsi="Times New Roman"/>
          <w:sz w:val="24"/>
          <w:szCs w:val="24"/>
          <w:lang w:val="en-US" w:eastAsia="en-GB"/>
        </w:rPr>
        <w:t xml:space="preserve">especially </w:t>
      </w:r>
      <w:r w:rsidRPr="007D4016">
        <w:rPr>
          <w:rFonts w:ascii="Times New Roman" w:hAnsi="Times New Roman"/>
          <w:sz w:val="24"/>
          <w:szCs w:val="24"/>
          <w:lang w:val="en-US" w:eastAsia="en-GB"/>
        </w:rPr>
        <w:t>from the EU</w:t>
      </w:r>
      <w:r w:rsidR="00DB002A" w:rsidRPr="007D4016">
        <w:rPr>
          <w:rFonts w:ascii="Times New Roman" w:hAnsi="Times New Roman"/>
          <w:sz w:val="24"/>
          <w:szCs w:val="24"/>
          <w:lang w:val="en-US" w:eastAsia="en-GB"/>
        </w:rPr>
        <w:t xml:space="preserve"> (Vukasović, 2014)</w:t>
      </w:r>
      <w:r w:rsidRPr="007D4016">
        <w:rPr>
          <w:rFonts w:ascii="Times New Roman" w:hAnsi="Times New Roman"/>
          <w:sz w:val="24"/>
          <w:szCs w:val="24"/>
          <w:lang w:val="en-US" w:eastAsia="en-GB"/>
        </w:rPr>
        <w:t>.</w:t>
      </w:r>
      <w:r w:rsidR="00FC0EED" w:rsidRPr="007D4016">
        <w:rPr>
          <w:rFonts w:ascii="Times New Roman" w:hAnsi="Times New Roman"/>
          <w:sz w:val="24"/>
          <w:szCs w:val="24"/>
          <w:lang w:val="en-US" w:eastAsia="en-GB"/>
        </w:rPr>
        <w:t xml:space="preserve"> </w:t>
      </w:r>
    </w:p>
    <w:p w14:paraId="7B20BFDF" w14:textId="77777777" w:rsidR="00DB002A" w:rsidRPr="007D4016" w:rsidRDefault="00DB002A" w:rsidP="00FC0EED">
      <w:pPr>
        <w:autoSpaceDE w:val="0"/>
        <w:autoSpaceDN w:val="0"/>
        <w:adjustRightInd w:val="0"/>
        <w:spacing w:after="0" w:line="240" w:lineRule="auto"/>
        <w:jc w:val="both"/>
        <w:rPr>
          <w:rFonts w:ascii="Times New Roman" w:hAnsi="Times New Roman"/>
          <w:sz w:val="24"/>
          <w:szCs w:val="24"/>
          <w:lang w:val="en-US" w:eastAsia="en-GB"/>
        </w:rPr>
      </w:pPr>
    </w:p>
    <w:p w14:paraId="326DBC3B" w14:textId="72D5F92E" w:rsidR="00A44DD0" w:rsidRPr="007D4016" w:rsidRDefault="00FC0EED" w:rsidP="00FC0EED">
      <w:pPr>
        <w:autoSpaceDE w:val="0"/>
        <w:autoSpaceDN w:val="0"/>
        <w:adjustRightInd w:val="0"/>
        <w:spacing w:after="0"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The EU has clear objectives when it comes to funding higher education. In</w:t>
      </w:r>
      <w:r w:rsidR="00222DC0">
        <w:rPr>
          <w:rFonts w:ascii="Times New Roman" w:hAnsi="Times New Roman"/>
          <w:sz w:val="24"/>
          <w:szCs w:val="24"/>
          <w:lang w:val="en-US" w:eastAsia="en-GB"/>
        </w:rPr>
        <w:t xml:space="preserve"> the</w:t>
      </w:r>
      <w:r w:rsidRPr="007D4016">
        <w:rPr>
          <w:rFonts w:ascii="Times New Roman" w:hAnsi="Times New Roman"/>
          <w:sz w:val="24"/>
          <w:szCs w:val="24"/>
          <w:lang w:val="en-US" w:eastAsia="en-GB"/>
        </w:rPr>
        <w:t xml:space="preserve"> “</w:t>
      </w:r>
      <w:r w:rsidR="00222DC0">
        <w:rPr>
          <w:rFonts w:ascii="Times New Roman" w:hAnsi="Times New Roman"/>
          <w:sz w:val="24"/>
          <w:szCs w:val="24"/>
          <w:lang w:val="en-US" w:eastAsia="en-GB"/>
        </w:rPr>
        <w:t>M</w:t>
      </w:r>
      <w:r w:rsidRPr="007D4016">
        <w:rPr>
          <w:rFonts w:ascii="Times New Roman" w:hAnsi="Times New Roman"/>
          <w:sz w:val="24"/>
          <w:szCs w:val="24"/>
          <w:lang w:val="en-US" w:eastAsia="en-GB"/>
        </w:rPr>
        <w:t>oderni</w:t>
      </w:r>
      <w:r w:rsidR="00222DC0">
        <w:rPr>
          <w:rFonts w:ascii="Times New Roman" w:hAnsi="Times New Roman"/>
          <w:sz w:val="24"/>
          <w:szCs w:val="24"/>
          <w:lang w:val="en-US" w:eastAsia="en-GB"/>
        </w:rPr>
        <w:t>z</w:t>
      </w:r>
      <w:r w:rsidRPr="007D4016">
        <w:rPr>
          <w:rFonts w:ascii="Times New Roman" w:hAnsi="Times New Roman"/>
          <w:sz w:val="24"/>
          <w:szCs w:val="24"/>
          <w:lang w:val="en-US" w:eastAsia="en-GB"/>
        </w:rPr>
        <w:t xml:space="preserve">ation </w:t>
      </w:r>
      <w:r w:rsidR="00222DC0">
        <w:rPr>
          <w:rFonts w:ascii="Times New Roman" w:hAnsi="Times New Roman"/>
          <w:sz w:val="24"/>
          <w:szCs w:val="24"/>
          <w:lang w:val="en-US" w:eastAsia="en-GB"/>
        </w:rPr>
        <w:t>A</w:t>
      </w:r>
      <w:r w:rsidRPr="007D4016">
        <w:rPr>
          <w:rFonts w:ascii="Times New Roman" w:hAnsi="Times New Roman"/>
          <w:sz w:val="24"/>
          <w:szCs w:val="24"/>
          <w:lang w:val="en-US" w:eastAsia="en-GB"/>
        </w:rPr>
        <w:t xml:space="preserve">genda for </w:t>
      </w:r>
      <w:r w:rsidR="00222DC0">
        <w:rPr>
          <w:rFonts w:ascii="Times New Roman" w:hAnsi="Times New Roman"/>
          <w:sz w:val="24"/>
          <w:szCs w:val="24"/>
          <w:lang w:val="en-US" w:eastAsia="en-GB"/>
        </w:rPr>
        <w:t>U</w:t>
      </w:r>
      <w:r w:rsidRPr="007D4016">
        <w:rPr>
          <w:rFonts w:ascii="Times New Roman" w:hAnsi="Times New Roman"/>
          <w:sz w:val="24"/>
          <w:szCs w:val="24"/>
          <w:lang w:val="en-US" w:eastAsia="en-GB"/>
        </w:rPr>
        <w:t xml:space="preserve">niversities” </w:t>
      </w:r>
      <w:r w:rsidR="00222DC0">
        <w:rPr>
          <w:rFonts w:ascii="Times New Roman" w:hAnsi="Times New Roman"/>
          <w:sz w:val="24"/>
          <w:szCs w:val="24"/>
          <w:lang w:val="en-US" w:eastAsia="en-GB"/>
        </w:rPr>
        <w:t>(</w:t>
      </w:r>
      <w:r w:rsidR="00222DC0" w:rsidRPr="007D4016">
        <w:rPr>
          <w:rFonts w:ascii="Times New Roman" w:hAnsi="Times New Roman"/>
          <w:sz w:val="24"/>
          <w:szCs w:val="24"/>
          <w:lang w:val="en-US" w:eastAsia="en-GB"/>
        </w:rPr>
        <w:t>European Council, 2007</w:t>
      </w:r>
      <w:r w:rsidR="00222DC0">
        <w:rPr>
          <w:rFonts w:ascii="Times New Roman" w:hAnsi="Times New Roman"/>
          <w:sz w:val="24"/>
          <w:szCs w:val="24"/>
          <w:lang w:val="en-US" w:eastAsia="en-GB"/>
        </w:rPr>
        <w:t xml:space="preserve">), </w:t>
      </w:r>
      <w:r w:rsidRPr="007D4016">
        <w:rPr>
          <w:rFonts w:ascii="Times New Roman" w:hAnsi="Times New Roman"/>
          <w:sz w:val="24"/>
          <w:szCs w:val="24"/>
          <w:lang w:val="en-US" w:eastAsia="en-GB"/>
        </w:rPr>
        <w:t>it recommends that universities “</w:t>
      </w:r>
      <w:r w:rsidR="004F53F6" w:rsidRPr="00B56A12">
        <w:rPr>
          <w:rFonts w:ascii="Times New Roman" w:hAnsi="Times New Roman"/>
          <w:sz w:val="24"/>
          <w:szCs w:val="24"/>
          <w:lang w:val="en-US" w:eastAsia="en-GB"/>
        </w:rPr>
        <w:t>increase and diversify their sources of public and private funding in order to reduce the funding gap with the European Union's main competitors</w:t>
      </w:r>
      <w:r w:rsidRPr="007D4016">
        <w:rPr>
          <w:rFonts w:ascii="Times New Roman" w:hAnsi="Times New Roman"/>
          <w:sz w:val="24"/>
          <w:szCs w:val="24"/>
          <w:lang w:val="en-US" w:eastAsia="en-GB"/>
        </w:rPr>
        <w:t xml:space="preserve">” (p. 2). The agenda also highlights “the need for closer cooperation between academia and the world of enterprise” (p. 3). In other words, the EU recommendations are </w:t>
      </w:r>
      <w:r w:rsidR="00D06EFA" w:rsidRPr="007D4016">
        <w:rPr>
          <w:rFonts w:ascii="Times New Roman" w:hAnsi="Times New Roman"/>
          <w:sz w:val="24"/>
          <w:szCs w:val="24"/>
          <w:lang w:val="en-US" w:eastAsia="en-GB"/>
        </w:rPr>
        <w:t>favorable</w:t>
      </w:r>
      <w:r w:rsidRPr="007D4016">
        <w:rPr>
          <w:rFonts w:ascii="Times New Roman" w:hAnsi="Times New Roman"/>
          <w:sz w:val="24"/>
          <w:szCs w:val="24"/>
          <w:lang w:val="en-US" w:eastAsia="en-GB"/>
        </w:rPr>
        <w:t xml:space="preserve"> to inserting market mechanisms into higher education sector and strengthening the competitive elements (Lynch, 2006; Brown, 2011). However, </w:t>
      </w:r>
      <w:r w:rsidR="00DB002A" w:rsidRPr="007D4016">
        <w:rPr>
          <w:rFonts w:ascii="Times New Roman" w:hAnsi="Times New Roman"/>
          <w:sz w:val="24"/>
          <w:szCs w:val="24"/>
          <w:lang w:val="en-US" w:eastAsia="en-GB"/>
        </w:rPr>
        <w:t xml:space="preserve">EU does not have legislative competences in higher education policies and can </w:t>
      </w:r>
      <w:r w:rsidRPr="007D4016">
        <w:rPr>
          <w:rFonts w:ascii="Times New Roman" w:hAnsi="Times New Roman"/>
          <w:sz w:val="24"/>
          <w:szCs w:val="24"/>
          <w:lang w:val="en-US" w:eastAsia="en-GB"/>
        </w:rPr>
        <w:t>influence national policies only by a way of soft instruments, such as communications</w:t>
      </w:r>
      <w:r w:rsidR="00D06EFA">
        <w:rPr>
          <w:rFonts w:ascii="Times New Roman" w:hAnsi="Times New Roman"/>
          <w:sz w:val="24"/>
          <w:szCs w:val="24"/>
          <w:lang w:val="en-US" w:eastAsia="en-GB"/>
        </w:rPr>
        <w:t xml:space="preserve"> and stock-taking</w:t>
      </w:r>
      <w:r w:rsidRPr="007D4016">
        <w:rPr>
          <w:rFonts w:ascii="Times New Roman" w:hAnsi="Times New Roman"/>
          <w:sz w:val="24"/>
          <w:szCs w:val="24"/>
          <w:lang w:val="en-US" w:eastAsia="en-GB"/>
        </w:rPr>
        <w:t xml:space="preserve">. </w:t>
      </w:r>
      <w:r w:rsidR="00D06EFA">
        <w:rPr>
          <w:rFonts w:ascii="Times New Roman" w:hAnsi="Times New Roman"/>
          <w:sz w:val="24"/>
          <w:szCs w:val="24"/>
          <w:lang w:val="en-US" w:eastAsia="en-GB"/>
        </w:rPr>
        <w:t>S</w:t>
      </w:r>
      <w:r w:rsidRPr="007D4016">
        <w:rPr>
          <w:rFonts w:ascii="Times New Roman" w:hAnsi="Times New Roman"/>
          <w:sz w:val="24"/>
          <w:szCs w:val="24"/>
          <w:lang w:val="en-US" w:eastAsia="en-GB"/>
        </w:rPr>
        <w:t>cience and research polices</w:t>
      </w:r>
      <w:r w:rsidR="00D06EFA">
        <w:rPr>
          <w:rFonts w:ascii="Times New Roman" w:hAnsi="Times New Roman"/>
          <w:sz w:val="24"/>
          <w:szCs w:val="24"/>
          <w:lang w:val="en-US" w:eastAsia="en-GB"/>
        </w:rPr>
        <w:t>, however,</w:t>
      </w:r>
      <w:r w:rsidRPr="007D4016">
        <w:rPr>
          <w:rFonts w:ascii="Times New Roman" w:hAnsi="Times New Roman"/>
          <w:sz w:val="24"/>
          <w:szCs w:val="24"/>
          <w:lang w:val="en-US" w:eastAsia="en-GB"/>
        </w:rPr>
        <w:t xml:space="preserve"> fall under the “</w:t>
      </w:r>
      <w:r w:rsidR="00DB002A" w:rsidRPr="007D4016">
        <w:rPr>
          <w:rFonts w:ascii="Times New Roman" w:hAnsi="Times New Roman"/>
          <w:sz w:val="24"/>
          <w:szCs w:val="24"/>
          <w:lang w:val="en-US" w:eastAsia="en-GB"/>
        </w:rPr>
        <w:t xml:space="preserve">EU </w:t>
      </w:r>
      <w:r w:rsidRPr="007D4016">
        <w:rPr>
          <w:rFonts w:ascii="Times New Roman" w:hAnsi="Times New Roman"/>
          <w:sz w:val="24"/>
          <w:szCs w:val="24"/>
          <w:lang w:val="en-US" w:eastAsia="en-GB"/>
        </w:rPr>
        <w:t xml:space="preserve">community method” and the </w:t>
      </w:r>
      <w:r w:rsidR="00DB002A" w:rsidRPr="007D4016">
        <w:rPr>
          <w:rFonts w:ascii="Times New Roman" w:hAnsi="Times New Roman"/>
          <w:sz w:val="24"/>
          <w:szCs w:val="24"/>
          <w:lang w:val="en-US" w:eastAsia="en-GB"/>
        </w:rPr>
        <w:t>EU decisions have direct effect on national legislation. There has been a sig</w:t>
      </w:r>
      <w:r w:rsidR="00D06EFA">
        <w:rPr>
          <w:rFonts w:ascii="Times New Roman" w:hAnsi="Times New Roman"/>
          <w:sz w:val="24"/>
          <w:szCs w:val="24"/>
          <w:lang w:val="en-US" w:eastAsia="en-GB"/>
        </w:rPr>
        <w:t xml:space="preserve">nificant ‘deepening’ of both policy areas - </w:t>
      </w:r>
      <w:r w:rsidR="00DB002A" w:rsidRPr="007D4016">
        <w:rPr>
          <w:rFonts w:ascii="Times New Roman" w:hAnsi="Times New Roman"/>
          <w:sz w:val="24"/>
          <w:szCs w:val="24"/>
          <w:lang w:val="en-US" w:eastAsia="en-GB"/>
        </w:rPr>
        <w:t xml:space="preserve">higher education, and research and science </w:t>
      </w:r>
      <w:r w:rsidR="00D06EFA">
        <w:rPr>
          <w:rFonts w:ascii="Times New Roman" w:hAnsi="Times New Roman"/>
          <w:sz w:val="24"/>
          <w:szCs w:val="24"/>
          <w:lang w:val="en-US" w:eastAsia="en-GB"/>
        </w:rPr>
        <w:t xml:space="preserve">- </w:t>
      </w:r>
      <w:r w:rsidR="00DB002A" w:rsidRPr="007D4016">
        <w:rPr>
          <w:rFonts w:ascii="Times New Roman" w:hAnsi="Times New Roman"/>
          <w:sz w:val="24"/>
          <w:szCs w:val="24"/>
          <w:lang w:val="en-US" w:eastAsia="en-GB"/>
        </w:rPr>
        <w:t xml:space="preserve">in the aftermath of the EU Lisbon Agenda (Klemenčič, 2013). </w:t>
      </w:r>
      <w:r w:rsidR="00A44DD0" w:rsidRPr="007D4016">
        <w:rPr>
          <w:rFonts w:ascii="Times New Roman" w:hAnsi="Times New Roman"/>
          <w:sz w:val="24"/>
          <w:szCs w:val="24"/>
          <w:lang w:val="en-US" w:eastAsia="en-GB"/>
        </w:rPr>
        <w:t xml:space="preserve">Yet, in view of its legislative mandate, the EU’s direct influence on national policy frameworks concerning universities </w:t>
      </w:r>
      <w:r w:rsidR="00222DC0">
        <w:rPr>
          <w:rFonts w:ascii="Times New Roman" w:hAnsi="Times New Roman"/>
          <w:sz w:val="24"/>
          <w:szCs w:val="24"/>
          <w:lang w:val="en-US" w:eastAsia="en-GB"/>
        </w:rPr>
        <w:t>is</w:t>
      </w:r>
      <w:r w:rsidR="00A44DD0" w:rsidRPr="007D4016">
        <w:rPr>
          <w:rFonts w:ascii="Times New Roman" w:hAnsi="Times New Roman"/>
          <w:sz w:val="24"/>
          <w:szCs w:val="24"/>
          <w:lang w:val="en-US" w:eastAsia="en-GB"/>
        </w:rPr>
        <w:t xml:space="preserve"> stronger </w:t>
      </w:r>
      <w:r w:rsidR="00D06EFA">
        <w:rPr>
          <w:rFonts w:ascii="Times New Roman" w:hAnsi="Times New Roman"/>
          <w:sz w:val="24"/>
          <w:szCs w:val="24"/>
          <w:lang w:val="en-US" w:eastAsia="en-GB"/>
        </w:rPr>
        <w:t>in the area of</w:t>
      </w:r>
      <w:r w:rsidR="00A44DD0" w:rsidRPr="007D4016">
        <w:rPr>
          <w:rFonts w:ascii="Times New Roman" w:hAnsi="Times New Roman"/>
          <w:sz w:val="24"/>
          <w:szCs w:val="24"/>
          <w:lang w:val="en-US" w:eastAsia="en-GB"/>
        </w:rPr>
        <w:t xml:space="preserve"> science and research</w:t>
      </w:r>
      <w:r w:rsidR="00D06EFA">
        <w:rPr>
          <w:rFonts w:ascii="Times New Roman" w:hAnsi="Times New Roman"/>
          <w:sz w:val="24"/>
          <w:szCs w:val="24"/>
          <w:lang w:val="en-US" w:eastAsia="en-GB"/>
        </w:rPr>
        <w:t xml:space="preserve">, and thus EU uses this channel </w:t>
      </w:r>
      <w:r w:rsidR="00222DC0">
        <w:rPr>
          <w:rFonts w:ascii="Times New Roman" w:hAnsi="Times New Roman"/>
          <w:sz w:val="24"/>
          <w:szCs w:val="24"/>
          <w:lang w:val="en-US" w:eastAsia="en-GB"/>
        </w:rPr>
        <w:t xml:space="preserve">to </w:t>
      </w:r>
      <w:r w:rsidR="00D06EFA">
        <w:rPr>
          <w:rFonts w:ascii="Times New Roman" w:hAnsi="Times New Roman"/>
          <w:sz w:val="24"/>
          <w:szCs w:val="24"/>
          <w:lang w:val="en-US" w:eastAsia="en-GB"/>
        </w:rPr>
        <w:t>also influence higher education</w:t>
      </w:r>
      <w:r w:rsidR="00A44DD0" w:rsidRPr="007D4016">
        <w:rPr>
          <w:rFonts w:ascii="Times New Roman" w:hAnsi="Times New Roman"/>
          <w:sz w:val="24"/>
          <w:szCs w:val="24"/>
          <w:lang w:val="en-US" w:eastAsia="en-GB"/>
        </w:rPr>
        <w:t xml:space="preserve">. In other words, EU </w:t>
      </w:r>
      <w:r w:rsidR="00D06EFA">
        <w:rPr>
          <w:rFonts w:ascii="Times New Roman" w:hAnsi="Times New Roman"/>
          <w:sz w:val="24"/>
          <w:szCs w:val="24"/>
          <w:lang w:val="en-US" w:eastAsia="en-GB"/>
        </w:rPr>
        <w:t>prescribes</w:t>
      </w:r>
      <w:r w:rsidR="00A44DD0" w:rsidRPr="007D4016">
        <w:rPr>
          <w:rFonts w:ascii="Times New Roman" w:hAnsi="Times New Roman"/>
          <w:sz w:val="24"/>
          <w:szCs w:val="24"/>
          <w:lang w:val="en-US" w:eastAsia="en-GB"/>
        </w:rPr>
        <w:t xml:space="preserve"> market-orientation in national higher education policies through the “back door” of research and science policy recommendations. </w:t>
      </w:r>
    </w:p>
    <w:p w14:paraId="36DB04C4" w14:textId="77777777" w:rsidR="00A44DD0" w:rsidRPr="007D4016" w:rsidRDefault="00A44DD0" w:rsidP="00FC0EED">
      <w:pPr>
        <w:autoSpaceDE w:val="0"/>
        <w:autoSpaceDN w:val="0"/>
        <w:adjustRightInd w:val="0"/>
        <w:spacing w:after="0" w:line="240" w:lineRule="auto"/>
        <w:jc w:val="both"/>
        <w:rPr>
          <w:rFonts w:ascii="Times New Roman" w:hAnsi="Times New Roman"/>
          <w:sz w:val="24"/>
          <w:szCs w:val="24"/>
          <w:lang w:val="en-US" w:eastAsia="en-GB"/>
        </w:rPr>
      </w:pPr>
    </w:p>
    <w:p w14:paraId="0B52AB2C" w14:textId="318BD15B" w:rsidR="00F459DA" w:rsidRPr="007D4016" w:rsidRDefault="00FA16D5" w:rsidP="008208BC">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The concrete mechanisms for </w:t>
      </w:r>
      <w:r w:rsidR="00C72D36" w:rsidRPr="007D4016">
        <w:rPr>
          <w:rFonts w:ascii="Times New Roman" w:hAnsi="Times New Roman"/>
          <w:sz w:val="24"/>
          <w:szCs w:val="24"/>
          <w:lang w:val="en-US" w:eastAsia="en-GB"/>
        </w:rPr>
        <w:t xml:space="preserve">the </w:t>
      </w:r>
      <w:r w:rsidRPr="007D4016">
        <w:rPr>
          <w:rFonts w:ascii="Times New Roman" w:hAnsi="Times New Roman"/>
          <w:sz w:val="24"/>
          <w:szCs w:val="24"/>
          <w:lang w:val="en-US" w:eastAsia="en-GB"/>
        </w:rPr>
        <w:t xml:space="preserve">diffusion of </w:t>
      </w:r>
      <w:r w:rsidR="009D44A3" w:rsidRPr="007D4016">
        <w:rPr>
          <w:rFonts w:ascii="Times New Roman" w:hAnsi="Times New Roman"/>
          <w:sz w:val="24"/>
          <w:szCs w:val="24"/>
          <w:lang w:val="en-US" w:eastAsia="en-GB"/>
        </w:rPr>
        <w:t xml:space="preserve">EU </w:t>
      </w:r>
      <w:r w:rsidRPr="007D4016">
        <w:rPr>
          <w:rFonts w:ascii="Times New Roman" w:hAnsi="Times New Roman"/>
          <w:sz w:val="24"/>
          <w:szCs w:val="24"/>
          <w:lang w:val="en-US" w:eastAsia="en-GB"/>
        </w:rPr>
        <w:t xml:space="preserve">policy recommendations to the Western Balkan governments </w:t>
      </w:r>
      <w:r w:rsidR="009D44A3" w:rsidRPr="007D4016">
        <w:rPr>
          <w:rFonts w:ascii="Times New Roman" w:hAnsi="Times New Roman"/>
          <w:sz w:val="24"/>
          <w:szCs w:val="24"/>
          <w:lang w:val="en-US" w:eastAsia="en-GB"/>
        </w:rPr>
        <w:t>are two-fold. For the two EU members states – Slovenia and Croatia – policy recommendations in this area come through the</w:t>
      </w:r>
      <w:r w:rsidR="00D06EFA">
        <w:rPr>
          <w:rFonts w:ascii="Times New Roman" w:hAnsi="Times New Roman"/>
          <w:sz w:val="24"/>
          <w:szCs w:val="24"/>
          <w:lang w:val="en-US" w:eastAsia="en-GB"/>
        </w:rPr>
        <w:t xml:space="preserve"> implementation of the</w:t>
      </w:r>
      <w:r w:rsidR="009D44A3" w:rsidRPr="007D4016">
        <w:rPr>
          <w:rFonts w:ascii="Times New Roman" w:hAnsi="Times New Roman"/>
          <w:sz w:val="24"/>
          <w:szCs w:val="24"/>
          <w:lang w:val="en-US" w:eastAsia="en-GB"/>
        </w:rPr>
        <w:t xml:space="preserve"> EU research and innovation policies</w:t>
      </w:r>
      <w:r w:rsidR="00D06EFA">
        <w:rPr>
          <w:rFonts w:ascii="Times New Roman" w:hAnsi="Times New Roman"/>
          <w:sz w:val="24"/>
          <w:szCs w:val="24"/>
          <w:lang w:val="en-US" w:eastAsia="en-GB"/>
        </w:rPr>
        <w:t xml:space="preserve"> in the context of the European Research Area, and specifically with </w:t>
      </w:r>
      <w:r w:rsidR="00222DC0">
        <w:rPr>
          <w:rFonts w:ascii="Times New Roman" w:hAnsi="Times New Roman"/>
          <w:sz w:val="24"/>
          <w:szCs w:val="24"/>
          <w:lang w:val="en-US" w:eastAsia="en-GB"/>
        </w:rPr>
        <w:t xml:space="preserve">such </w:t>
      </w:r>
      <w:r w:rsidR="00D06EFA">
        <w:rPr>
          <w:rFonts w:ascii="Times New Roman" w:hAnsi="Times New Roman"/>
          <w:sz w:val="24"/>
          <w:szCs w:val="24"/>
          <w:lang w:val="en-US" w:eastAsia="en-GB"/>
        </w:rPr>
        <w:t>instruments</w:t>
      </w:r>
      <w:r w:rsidR="00222DC0">
        <w:rPr>
          <w:rFonts w:ascii="Times New Roman" w:hAnsi="Times New Roman"/>
          <w:sz w:val="24"/>
          <w:szCs w:val="24"/>
          <w:lang w:val="en-US" w:eastAsia="en-GB"/>
        </w:rPr>
        <w:t xml:space="preserve"> </w:t>
      </w:r>
      <w:r w:rsidR="00D06EFA">
        <w:rPr>
          <w:rFonts w:ascii="Times New Roman" w:hAnsi="Times New Roman"/>
          <w:sz w:val="24"/>
          <w:szCs w:val="24"/>
          <w:lang w:val="en-US" w:eastAsia="en-GB"/>
        </w:rPr>
        <w:t>as</w:t>
      </w:r>
      <w:r w:rsidR="009D44A3" w:rsidRPr="007D4016">
        <w:rPr>
          <w:rFonts w:ascii="Times New Roman" w:hAnsi="Times New Roman"/>
          <w:sz w:val="24"/>
          <w:szCs w:val="24"/>
          <w:lang w:val="en-US" w:eastAsia="en-GB"/>
        </w:rPr>
        <w:t xml:space="preserve"> the European Commission’s </w:t>
      </w:r>
      <w:r w:rsidR="00222DC0">
        <w:rPr>
          <w:rFonts w:ascii="Times New Roman" w:hAnsi="Times New Roman"/>
          <w:sz w:val="24"/>
          <w:szCs w:val="24"/>
          <w:lang w:val="en-US" w:eastAsia="en-GB"/>
        </w:rPr>
        <w:t>r</w:t>
      </w:r>
      <w:r w:rsidR="009D44A3" w:rsidRPr="007D4016">
        <w:rPr>
          <w:rFonts w:ascii="Times New Roman" w:hAnsi="Times New Roman"/>
          <w:sz w:val="24"/>
          <w:szCs w:val="24"/>
          <w:lang w:val="en-US" w:eastAsia="en-GB"/>
        </w:rPr>
        <w:t>ecommendation on the management of intellectual property in knowledge transfer activities and Code of Practice for universities and other public research organi</w:t>
      </w:r>
      <w:r w:rsidR="00222DC0">
        <w:rPr>
          <w:rFonts w:ascii="Times New Roman" w:hAnsi="Times New Roman"/>
          <w:sz w:val="24"/>
          <w:szCs w:val="24"/>
          <w:lang w:val="en-US" w:eastAsia="en-GB"/>
        </w:rPr>
        <w:t>z</w:t>
      </w:r>
      <w:r w:rsidR="009D44A3" w:rsidRPr="007D4016">
        <w:rPr>
          <w:rFonts w:ascii="Times New Roman" w:hAnsi="Times New Roman"/>
          <w:sz w:val="24"/>
          <w:szCs w:val="24"/>
          <w:lang w:val="en-US" w:eastAsia="en-GB"/>
        </w:rPr>
        <w:t xml:space="preserve">ations (European Commission, 2008). The Code of Practice clearly states that </w:t>
      </w:r>
      <w:r w:rsidR="004F53F6" w:rsidRPr="00B56A12">
        <w:rPr>
          <w:rFonts w:ascii="Times New Roman" w:hAnsi="Times New Roman"/>
          <w:sz w:val="24"/>
          <w:szCs w:val="24"/>
          <w:lang w:val="en-US" w:eastAsia="en-GB"/>
        </w:rPr>
        <w:t>“[p]ublic research organi</w:t>
      </w:r>
      <w:r w:rsidR="00222DC0">
        <w:rPr>
          <w:rFonts w:ascii="Times New Roman" w:hAnsi="Times New Roman"/>
          <w:sz w:val="24"/>
          <w:szCs w:val="24"/>
          <w:lang w:val="en-US" w:eastAsia="en-GB"/>
        </w:rPr>
        <w:t>z</w:t>
      </w:r>
      <w:r w:rsidR="004F53F6" w:rsidRPr="00B56A12">
        <w:rPr>
          <w:rFonts w:ascii="Times New Roman" w:hAnsi="Times New Roman"/>
          <w:sz w:val="24"/>
          <w:szCs w:val="24"/>
          <w:lang w:val="en-US" w:eastAsia="en-GB"/>
        </w:rPr>
        <w:t>ations, including universities, need to more actively engaged in the exploitation of publicly-funded research results, for instance through academia-industry collaborations, licensing and spin-offs</w:t>
      </w:r>
      <w:r w:rsidR="009D44A3" w:rsidRPr="00222DC0">
        <w:rPr>
          <w:rFonts w:ascii="Times New Roman" w:hAnsi="Times New Roman"/>
          <w:sz w:val="24"/>
          <w:szCs w:val="24"/>
          <w:lang w:val="en-US" w:eastAsia="en-GB"/>
        </w:rPr>
        <w:t>”</w:t>
      </w:r>
      <w:r w:rsidR="009D44A3" w:rsidRPr="007D4016">
        <w:rPr>
          <w:rFonts w:ascii="Times New Roman" w:hAnsi="Times New Roman"/>
          <w:sz w:val="24"/>
          <w:szCs w:val="24"/>
          <w:lang w:val="en-US" w:eastAsia="en-GB"/>
        </w:rPr>
        <w:t xml:space="preserve"> (European Commission, 2008, p. 5). For the </w:t>
      </w:r>
      <w:r w:rsidR="00D06EFA">
        <w:rPr>
          <w:rFonts w:ascii="Times New Roman" w:hAnsi="Times New Roman"/>
          <w:sz w:val="24"/>
          <w:szCs w:val="24"/>
          <w:lang w:val="en-US" w:eastAsia="en-GB"/>
        </w:rPr>
        <w:t>non-EU</w:t>
      </w:r>
      <w:r w:rsidR="009D44A3" w:rsidRPr="007D4016">
        <w:rPr>
          <w:rFonts w:ascii="Times New Roman" w:hAnsi="Times New Roman"/>
          <w:sz w:val="24"/>
          <w:szCs w:val="24"/>
          <w:lang w:val="en-US" w:eastAsia="en-GB"/>
        </w:rPr>
        <w:t xml:space="preserve"> countries, the policy diffusion works through the</w:t>
      </w:r>
      <w:r w:rsidR="000C53AF" w:rsidRPr="007D4016">
        <w:rPr>
          <w:rFonts w:ascii="Times New Roman" w:hAnsi="Times New Roman"/>
          <w:sz w:val="24"/>
          <w:szCs w:val="24"/>
          <w:lang w:val="en-US" w:eastAsia="en-GB"/>
        </w:rPr>
        <w:t xml:space="preserve"> implementation of the Stabilization and Association Agreements</w:t>
      </w:r>
      <w:r w:rsidRPr="007D4016">
        <w:rPr>
          <w:rFonts w:ascii="Times New Roman" w:hAnsi="Times New Roman"/>
          <w:sz w:val="24"/>
          <w:szCs w:val="24"/>
          <w:lang w:val="en-US" w:eastAsia="en-GB"/>
        </w:rPr>
        <w:t xml:space="preserve">, which </w:t>
      </w:r>
      <w:r w:rsidR="009D44A3" w:rsidRPr="007D4016">
        <w:rPr>
          <w:rFonts w:ascii="Times New Roman" w:hAnsi="Times New Roman"/>
          <w:sz w:val="24"/>
          <w:szCs w:val="24"/>
          <w:lang w:val="en-US" w:eastAsia="en-GB"/>
        </w:rPr>
        <w:t xml:space="preserve">all </w:t>
      </w:r>
      <w:r w:rsidR="00222DC0">
        <w:rPr>
          <w:rFonts w:ascii="Times New Roman" w:hAnsi="Times New Roman"/>
          <w:sz w:val="24"/>
          <w:szCs w:val="24"/>
          <w:lang w:val="en-US" w:eastAsia="en-GB"/>
        </w:rPr>
        <w:t>countries in the region</w:t>
      </w:r>
      <w:r w:rsidRPr="007D4016">
        <w:rPr>
          <w:rFonts w:ascii="Times New Roman" w:hAnsi="Times New Roman"/>
          <w:sz w:val="24"/>
          <w:szCs w:val="24"/>
          <w:lang w:val="en-US" w:eastAsia="en-GB"/>
        </w:rPr>
        <w:t xml:space="preserve"> have signed</w:t>
      </w:r>
      <w:r w:rsidR="00222DC0">
        <w:rPr>
          <w:rFonts w:ascii="Times New Roman" w:hAnsi="Times New Roman"/>
          <w:sz w:val="24"/>
          <w:szCs w:val="24"/>
          <w:lang w:val="en-US" w:eastAsia="en-GB"/>
        </w:rPr>
        <w:t xml:space="preserve">. These agreements </w:t>
      </w:r>
      <w:r w:rsidR="00665175" w:rsidRPr="007D4016">
        <w:rPr>
          <w:rFonts w:ascii="Times New Roman" w:hAnsi="Times New Roman"/>
          <w:sz w:val="24"/>
          <w:szCs w:val="24"/>
          <w:lang w:val="en-US" w:eastAsia="en-GB"/>
        </w:rPr>
        <w:t>impl</w:t>
      </w:r>
      <w:r w:rsidR="00222DC0">
        <w:rPr>
          <w:rFonts w:ascii="Times New Roman" w:hAnsi="Times New Roman"/>
          <w:sz w:val="24"/>
          <w:szCs w:val="24"/>
          <w:lang w:val="en-US" w:eastAsia="en-GB"/>
        </w:rPr>
        <w:t>y</w:t>
      </w:r>
      <w:r w:rsidR="000C53AF" w:rsidRPr="007D4016">
        <w:rPr>
          <w:rFonts w:ascii="Times New Roman" w:hAnsi="Times New Roman"/>
          <w:sz w:val="24"/>
          <w:szCs w:val="24"/>
          <w:lang w:val="en-US" w:eastAsia="en-GB"/>
        </w:rPr>
        <w:t xml:space="preserve"> progressive compliance with the EU </w:t>
      </w:r>
      <w:r w:rsidR="000C53AF" w:rsidRPr="007D4016">
        <w:rPr>
          <w:rFonts w:ascii="Times New Roman" w:hAnsi="Times New Roman"/>
          <w:i/>
          <w:sz w:val="24"/>
          <w:szCs w:val="24"/>
          <w:lang w:val="en-US" w:eastAsia="en-GB"/>
        </w:rPr>
        <w:t>Acquis Communautaire</w:t>
      </w:r>
      <w:r w:rsidR="000C53AF" w:rsidRPr="007D4016">
        <w:rPr>
          <w:rFonts w:ascii="Times New Roman" w:hAnsi="Times New Roman"/>
          <w:sz w:val="24"/>
          <w:szCs w:val="24"/>
          <w:lang w:val="en-US" w:eastAsia="en-GB"/>
        </w:rPr>
        <w:t xml:space="preserve"> in the fie</w:t>
      </w:r>
      <w:r w:rsidR="008208BC" w:rsidRPr="007D4016">
        <w:rPr>
          <w:rFonts w:ascii="Times New Roman" w:hAnsi="Times New Roman"/>
          <w:sz w:val="24"/>
          <w:szCs w:val="24"/>
          <w:lang w:val="en-US" w:eastAsia="en-GB"/>
        </w:rPr>
        <w:t xml:space="preserve">ld of </w:t>
      </w:r>
      <w:r w:rsidR="00F459DA" w:rsidRPr="007D4016">
        <w:rPr>
          <w:rFonts w:ascii="Times New Roman" w:hAnsi="Times New Roman"/>
          <w:sz w:val="24"/>
          <w:szCs w:val="24"/>
          <w:lang w:val="en-US" w:eastAsia="en-GB"/>
        </w:rPr>
        <w:t>science and research -</w:t>
      </w:r>
      <w:r w:rsidR="009D44A3" w:rsidRPr="007D4016">
        <w:rPr>
          <w:rFonts w:ascii="Times New Roman" w:hAnsi="Times New Roman"/>
          <w:sz w:val="24"/>
          <w:szCs w:val="24"/>
          <w:lang w:val="en-US" w:eastAsia="en-GB"/>
        </w:rPr>
        <w:t xml:space="preserve"> concretely </w:t>
      </w:r>
      <w:r w:rsidR="008208BC" w:rsidRPr="007D4016">
        <w:rPr>
          <w:rFonts w:ascii="Times New Roman" w:hAnsi="Times New Roman"/>
          <w:sz w:val="24"/>
          <w:szCs w:val="24"/>
          <w:lang w:val="en-US" w:eastAsia="en-GB"/>
        </w:rPr>
        <w:t>“Chapter 25 on Science and Research</w:t>
      </w:r>
      <w:r w:rsidR="00222DC0">
        <w:rPr>
          <w:rFonts w:ascii="Times New Roman" w:hAnsi="Times New Roman"/>
          <w:sz w:val="24"/>
          <w:szCs w:val="24"/>
          <w:lang w:val="en-US" w:eastAsia="en-GB"/>
        </w:rPr>
        <w:t>,</w:t>
      </w:r>
      <w:r w:rsidR="008208BC" w:rsidRPr="007D4016">
        <w:rPr>
          <w:rFonts w:ascii="Times New Roman" w:hAnsi="Times New Roman"/>
          <w:sz w:val="24"/>
          <w:szCs w:val="24"/>
          <w:lang w:val="en-US" w:eastAsia="en-GB"/>
        </w:rPr>
        <w:t>”</w:t>
      </w:r>
      <w:r w:rsidR="00D06EFA">
        <w:rPr>
          <w:rFonts w:ascii="Times New Roman" w:hAnsi="Times New Roman"/>
          <w:sz w:val="24"/>
          <w:szCs w:val="24"/>
          <w:lang w:val="en-US" w:eastAsia="en-GB"/>
        </w:rPr>
        <w:t xml:space="preserve"> which is firmly grounded in the EU’s market-oriented vision of higher education systems.</w:t>
      </w:r>
    </w:p>
    <w:p w14:paraId="7D7D73E6" w14:textId="46DFF479" w:rsidR="008208BC" w:rsidRPr="007D4016" w:rsidRDefault="00F459DA" w:rsidP="008208BC">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Furthermore, the diffusion of EU policies to national policy frameworks comes also through the regional intergovernmental strategy - </w:t>
      </w:r>
      <w:r w:rsidR="002369C0" w:rsidRPr="007D4016">
        <w:rPr>
          <w:rFonts w:ascii="Times New Roman" w:hAnsi="Times New Roman"/>
          <w:sz w:val="24"/>
          <w:szCs w:val="24"/>
          <w:lang w:val="en-US" w:eastAsia="en-GB"/>
        </w:rPr>
        <w:t xml:space="preserve">the </w:t>
      </w:r>
      <w:r w:rsidR="00460D32" w:rsidRPr="007D4016">
        <w:rPr>
          <w:rFonts w:ascii="Times New Roman" w:hAnsi="Times New Roman"/>
          <w:sz w:val="24"/>
          <w:szCs w:val="24"/>
          <w:lang w:val="en-US" w:eastAsia="en-GB"/>
        </w:rPr>
        <w:t xml:space="preserve">Western Balkans Regional </w:t>
      </w:r>
      <w:r w:rsidR="008208BC" w:rsidRPr="007D4016">
        <w:rPr>
          <w:rFonts w:ascii="Times New Roman" w:hAnsi="Times New Roman"/>
          <w:sz w:val="24"/>
          <w:szCs w:val="24"/>
          <w:lang w:val="en-US" w:eastAsia="en-GB"/>
        </w:rPr>
        <w:t>Research and Development (R&amp;D) Strategy for Innovation</w:t>
      </w:r>
      <w:r w:rsidR="00C86272" w:rsidRPr="007D4016">
        <w:rPr>
          <w:rFonts w:ascii="Times New Roman" w:hAnsi="Times New Roman"/>
          <w:sz w:val="24"/>
          <w:szCs w:val="24"/>
          <w:lang w:val="en-US" w:eastAsia="en-GB"/>
        </w:rPr>
        <w:t xml:space="preserve"> (World Bank, 2013)</w:t>
      </w:r>
      <w:r w:rsidR="008208BC" w:rsidRPr="007D4016">
        <w:rPr>
          <w:rFonts w:ascii="Times New Roman" w:hAnsi="Times New Roman"/>
          <w:sz w:val="24"/>
          <w:szCs w:val="24"/>
          <w:lang w:val="en-US" w:eastAsia="en-GB"/>
        </w:rPr>
        <w:t xml:space="preserve">. </w:t>
      </w:r>
      <w:r w:rsidRPr="007D4016">
        <w:rPr>
          <w:rFonts w:ascii="Times New Roman" w:hAnsi="Times New Roman"/>
          <w:sz w:val="24"/>
          <w:szCs w:val="24"/>
          <w:lang w:val="en-US" w:eastAsia="en-GB"/>
        </w:rPr>
        <w:t xml:space="preserve">The strategy was adopted by all the governments (Slovenia is not part of it) with </w:t>
      </w:r>
      <w:r w:rsidR="00D06EFA">
        <w:rPr>
          <w:rFonts w:ascii="Times New Roman" w:hAnsi="Times New Roman"/>
          <w:sz w:val="24"/>
          <w:szCs w:val="24"/>
          <w:lang w:val="en-US" w:eastAsia="en-GB"/>
        </w:rPr>
        <w:t xml:space="preserve">the </w:t>
      </w:r>
      <w:r w:rsidRPr="007D4016">
        <w:rPr>
          <w:rFonts w:ascii="Times New Roman" w:hAnsi="Times New Roman"/>
          <w:sz w:val="24"/>
          <w:szCs w:val="24"/>
          <w:lang w:val="en-US" w:eastAsia="en-GB"/>
        </w:rPr>
        <w:t xml:space="preserve">support of the EU and </w:t>
      </w:r>
      <w:r w:rsidR="00D06EFA">
        <w:rPr>
          <w:rFonts w:ascii="Times New Roman" w:hAnsi="Times New Roman"/>
          <w:sz w:val="24"/>
          <w:szCs w:val="24"/>
          <w:lang w:val="en-US" w:eastAsia="en-GB"/>
        </w:rPr>
        <w:t xml:space="preserve">the technical </w:t>
      </w:r>
      <w:r w:rsidRPr="007D4016">
        <w:rPr>
          <w:rFonts w:ascii="Times New Roman" w:hAnsi="Times New Roman"/>
          <w:sz w:val="24"/>
          <w:szCs w:val="24"/>
          <w:lang w:val="en-US" w:eastAsia="en-GB"/>
        </w:rPr>
        <w:t>assistance from the World Bank</w:t>
      </w:r>
      <w:r w:rsidR="00D06EFA">
        <w:rPr>
          <w:rFonts w:ascii="Times New Roman" w:hAnsi="Times New Roman"/>
          <w:sz w:val="24"/>
          <w:szCs w:val="24"/>
          <w:lang w:val="en-US" w:eastAsia="en-GB"/>
        </w:rPr>
        <w:t>. I</w:t>
      </w:r>
      <w:r w:rsidRPr="007D4016">
        <w:rPr>
          <w:rFonts w:ascii="Times New Roman" w:hAnsi="Times New Roman"/>
          <w:sz w:val="24"/>
          <w:szCs w:val="24"/>
          <w:lang w:val="en-US" w:eastAsia="en-GB"/>
        </w:rPr>
        <w:t xml:space="preserve">ts implementation is coordinated through </w:t>
      </w:r>
      <w:r w:rsidR="00B359DB">
        <w:rPr>
          <w:rFonts w:ascii="Times New Roman" w:hAnsi="Times New Roman"/>
          <w:sz w:val="24"/>
          <w:szCs w:val="24"/>
          <w:lang w:val="en-US" w:eastAsia="en-GB"/>
        </w:rPr>
        <w:t xml:space="preserve">the </w:t>
      </w:r>
      <w:r w:rsidRPr="007D4016">
        <w:rPr>
          <w:rFonts w:ascii="Times New Roman" w:hAnsi="Times New Roman"/>
          <w:sz w:val="24"/>
          <w:szCs w:val="24"/>
          <w:lang w:val="en-US" w:eastAsia="en-GB"/>
        </w:rPr>
        <w:t>Regional Cooperation Council,</w:t>
      </w:r>
      <w:r w:rsidR="00B359DB">
        <w:rPr>
          <w:rFonts w:ascii="Times New Roman" w:hAnsi="Times New Roman"/>
          <w:sz w:val="24"/>
          <w:szCs w:val="24"/>
          <w:lang w:val="en-US" w:eastAsia="en-GB"/>
        </w:rPr>
        <w:t xml:space="preserve"> and is </w:t>
      </w:r>
      <w:r w:rsidRPr="007D4016">
        <w:rPr>
          <w:rFonts w:ascii="Times New Roman" w:hAnsi="Times New Roman"/>
          <w:sz w:val="24"/>
          <w:szCs w:val="24"/>
          <w:lang w:val="en-US" w:eastAsia="en-GB"/>
        </w:rPr>
        <w:t xml:space="preserve">also financially supported through the EU. </w:t>
      </w:r>
      <w:r w:rsidR="008208BC" w:rsidRPr="007D4016">
        <w:rPr>
          <w:rFonts w:ascii="Times New Roman" w:hAnsi="Times New Roman"/>
          <w:sz w:val="24"/>
          <w:szCs w:val="24"/>
          <w:lang w:val="en-US" w:eastAsia="en-GB"/>
        </w:rPr>
        <w:t>The document serve</w:t>
      </w:r>
      <w:r w:rsidRPr="007D4016">
        <w:rPr>
          <w:rFonts w:ascii="Times New Roman" w:hAnsi="Times New Roman"/>
          <w:sz w:val="24"/>
          <w:szCs w:val="24"/>
          <w:lang w:val="en-US" w:eastAsia="en-GB"/>
        </w:rPr>
        <w:t>s</w:t>
      </w:r>
      <w:r w:rsidR="008208BC" w:rsidRPr="007D4016">
        <w:rPr>
          <w:rFonts w:ascii="Times New Roman" w:hAnsi="Times New Roman"/>
          <w:sz w:val="24"/>
          <w:szCs w:val="24"/>
          <w:lang w:val="en-US" w:eastAsia="en-GB"/>
        </w:rPr>
        <w:t xml:space="preserve"> as a framework for boosting institutional</w:t>
      </w:r>
      <w:r w:rsidR="00C86272" w:rsidRPr="007D4016">
        <w:rPr>
          <w:rFonts w:ascii="Times New Roman" w:hAnsi="Times New Roman"/>
          <w:sz w:val="24"/>
          <w:szCs w:val="24"/>
          <w:lang w:val="en-US" w:eastAsia="en-GB"/>
        </w:rPr>
        <w:t xml:space="preserve"> reforms and policy innovation </w:t>
      </w:r>
      <w:r w:rsidR="008208BC" w:rsidRPr="007D4016">
        <w:rPr>
          <w:rFonts w:ascii="Times New Roman" w:hAnsi="Times New Roman"/>
          <w:sz w:val="24"/>
          <w:szCs w:val="24"/>
          <w:lang w:val="en-US" w:eastAsia="en-GB"/>
        </w:rPr>
        <w:t>and integrate the region into the European Research Area (ERA) and Innovation Union</w:t>
      </w:r>
      <w:r w:rsidR="00C24C35" w:rsidRPr="007D4016">
        <w:rPr>
          <w:rFonts w:ascii="Times New Roman" w:hAnsi="Times New Roman"/>
          <w:sz w:val="24"/>
          <w:szCs w:val="24"/>
          <w:lang w:val="en-US" w:eastAsia="en-GB"/>
        </w:rPr>
        <w:t xml:space="preserve"> </w:t>
      </w:r>
      <w:r w:rsidR="00C86272" w:rsidRPr="007D4016">
        <w:rPr>
          <w:rFonts w:ascii="Times New Roman" w:hAnsi="Times New Roman"/>
          <w:sz w:val="24"/>
          <w:szCs w:val="24"/>
          <w:lang w:val="en-US" w:eastAsia="en-GB"/>
        </w:rPr>
        <w:t>by</w:t>
      </w:r>
      <w:r w:rsidR="008208BC" w:rsidRPr="007D4016">
        <w:rPr>
          <w:rFonts w:ascii="Times New Roman" w:hAnsi="Times New Roman"/>
          <w:sz w:val="24"/>
          <w:szCs w:val="24"/>
          <w:lang w:val="en-US" w:eastAsia="en-GB"/>
        </w:rPr>
        <w:t xml:space="preserve">: (a) meeting the requirements of EU </w:t>
      </w:r>
      <w:r w:rsidR="008208BC" w:rsidRPr="007D4016">
        <w:rPr>
          <w:rFonts w:ascii="Times New Roman" w:hAnsi="Times New Roman"/>
          <w:i/>
          <w:sz w:val="24"/>
          <w:szCs w:val="24"/>
          <w:lang w:val="en-US" w:eastAsia="en-GB"/>
        </w:rPr>
        <w:t>acquis</w:t>
      </w:r>
      <w:r w:rsidR="008208BC" w:rsidRPr="007D4016">
        <w:rPr>
          <w:rFonts w:ascii="Times New Roman" w:hAnsi="Times New Roman"/>
          <w:sz w:val="24"/>
          <w:szCs w:val="24"/>
          <w:lang w:val="en-US" w:eastAsia="en-GB"/>
        </w:rPr>
        <w:t xml:space="preserve">, (b) better absorption of funds from the Horizon 2020 program, and (c) gradually meeting the R&amp;D objectives set out in South East Europe 2020 </w:t>
      </w:r>
      <w:r w:rsidR="00C86272" w:rsidRPr="007D4016">
        <w:rPr>
          <w:rFonts w:ascii="Times New Roman" w:hAnsi="Times New Roman"/>
          <w:sz w:val="24"/>
          <w:szCs w:val="24"/>
          <w:lang w:val="en-US" w:eastAsia="en-GB"/>
        </w:rPr>
        <w:t>Strategy</w:t>
      </w:r>
      <w:r w:rsidR="00C24C35" w:rsidRPr="007D4016">
        <w:rPr>
          <w:rFonts w:ascii="Times New Roman" w:hAnsi="Times New Roman"/>
          <w:sz w:val="24"/>
          <w:szCs w:val="24"/>
          <w:lang w:val="en-US" w:eastAsia="en-GB"/>
        </w:rPr>
        <w:t xml:space="preserve"> (</w:t>
      </w:r>
      <w:r w:rsidR="003C5928" w:rsidRPr="003C5928">
        <w:rPr>
          <w:rFonts w:ascii="Times New Roman" w:hAnsi="Times New Roman"/>
          <w:sz w:val="24"/>
          <w:szCs w:val="24"/>
          <w:lang w:val="en-US" w:eastAsia="en-GB"/>
        </w:rPr>
        <w:t>World Bank, 2013</w:t>
      </w:r>
      <w:r w:rsidR="00C24C35" w:rsidRPr="007D4016">
        <w:rPr>
          <w:rFonts w:ascii="Times New Roman" w:hAnsi="Times New Roman"/>
          <w:sz w:val="24"/>
          <w:szCs w:val="24"/>
          <w:lang w:val="en-US" w:eastAsia="en-GB"/>
        </w:rPr>
        <w:t>)</w:t>
      </w:r>
      <w:r w:rsidR="00C86272" w:rsidRPr="007D4016">
        <w:rPr>
          <w:rFonts w:ascii="Times New Roman" w:hAnsi="Times New Roman"/>
          <w:sz w:val="24"/>
          <w:szCs w:val="24"/>
          <w:lang w:val="en-US" w:eastAsia="en-GB"/>
        </w:rPr>
        <w:t>. The South East Europe 2020 Strategy clearly states as one of its objectives to “introduce a Technology Transfer program to stimulate industry-science collaboration, encourage marketable research results and value-creation</w:t>
      </w:r>
      <w:r w:rsidR="00C24C35" w:rsidRPr="007D4016">
        <w:rPr>
          <w:rFonts w:ascii="Times New Roman" w:hAnsi="Times New Roman"/>
          <w:sz w:val="24"/>
          <w:szCs w:val="24"/>
          <w:lang w:val="en-US" w:eastAsia="en-GB"/>
        </w:rPr>
        <w:t xml:space="preserve">” (Regional Cooperation Council, 2013, p. 8). </w:t>
      </w:r>
    </w:p>
    <w:p w14:paraId="50D4323E" w14:textId="3728D26D" w:rsidR="00C24C35" w:rsidRPr="007D4016" w:rsidRDefault="00A44DD0" w:rsidP="00A44DD0">
      <w:pPr>
        <w:autoSpaceDE w:val="0"/>
        <w:autoSpaceDN w:val="0"/>
        <w:adjustRightInd w:val="0"/>
        <w:spacing w:after="0"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As Vukasović (2014) points out, the Western Balkan countries tend to be susceptible to incentives provided by the EU </w:t>
      </w:r>
      <w:r w:rsidR="00B359DB">
        <w:rPr>
          <w:rFonts w:ascii="Times New Roman" w:hAnsi="Times New Roman"/>
          <w:sz w:val="24"/>
          <w:szCs w:val="24"/>
          <w:lang w:val="en-US" w:eastAsia="en-GB"/>
        </w:rPr>
        <w:t>to</w:t>
      </w:r>
      <w:r w:rsidR="005A45D6">
        <w:rPr>
          <w:rFonts w:ascii="Times New Roman" w:hAnsi="Times New Roman"/>
          <w:sz w:val="24"/>
          <w:szCs w:val="24"/>
          <w:lang w:val="en-US" w:eastAsia="en-GB"/>
        </w:rPr>
        <w:t xml:space="preserve"> strengthen the ‘private’ in public higher education. </w:t>
      </w:r>
      <w:r w:rsidRPr="007D4016">
        <w:rPr>
          <w:rFonts w:ascii="Times New Roman" w:hAnsi="Times New Roman"/>
          <w:sz w:val="24"/>
          <w:szCs w:val="24"/>
          <w:lang w:val="en-US" w:eastAsia="en-GB"/>
        </w:rPr>
        <w:t>T</w:t>
      </w:r>
      <w:r w:rsidR="00C24C35" w:rsidRPr="007D4016">
        <w:rPr>
          <w:rFonts w:ascii="Times New Roman" w:hAnsi="Times New Roman"/>
          <w:sz w:val="24"/>
          <w:szCs w:val="24"/>
          <w:lang w:val="en-US" w:eastAsia="en-GB"/>
        </w:rPr>
        <w:t xml:space="preserve">here </w:t>
      </w:r>
      <w:r w:rsidRPr="007D4016">
        <w:rPr>
          <w:rFonts w:ascii="Times New Roman" w:hAnsi="Times New Roman"/>
          <w:sz w:val="24"/>
          <w:szCs w:val="24"/>
          <w:lang w:val="en-US" w:eastAsia="en-GB"/>
        </w:rPr>
        <w:t xml:space="preserve">appears a </w:t>
      </w:r>
      <w:r w:rsidR="00C24C35" w:rsidRPr="007D4016">
        <w:rPr>
          <w:rFonts w:ascii="Times New Roman" w:hAnsi="Times New Roman"/>
          <w:sz w:val="24"/>
          <w:szCs w:val="24"/>
          <w:lang w:val="en-US" w:eastAsia="en-GB"/>
        </w:rPr>
        <w:t xml:space="preserve">firm political commitment from regional governments to </w:t>
      </w:r>
      <w:r w:rsidRPr="007D4016">
        <w:rPr>
          <w:rFonts w:ascii="Times New Roman" w:hAnsi="Times New Roman"/>
          <w:sz w:val="24"/>
          <w:szCs w:val="24"/>
          <w:lang w:val="en-US" w:eastAsia="en-GB"/>
        </w:rPr>
        <w:t xml:space="preserve">expand the range and </w:t>
      </w:r>
      <w:r w:rsidR="00D06EFA">
        <w:rPr>
          <w:rFonts w:ascii="Times New Roman" w:hAnsi="Times New Roman"/>
          <w:sz w:val="24"/>
          <w:szCs w:val="24"/>
          <w:lang w:val="en-US" w:eastAsia="en-GB"/>
        </w:rPr>
        <w:t xml:space="preserve">the </w:t>
      </w:r>
      <w:r w:rsidRPr="007D4016">
        <w:rPr>
          <w:rFonts w:ascii="Times New Roman" w:hAnsi="Times New Roman"/>
          <w:sz w:val="24"/>
          <w:szCs w:val="24"/>
          <w:lang w:val="en-US" w:eastAsia="en-GB"/>
        </w:rPr>
        <w:t xml:space="preserve">extent of private revenue sources through </w:t>
      </w:r>
      <w:r w:rsidR="00C24C35" w:rsidRPr="007D4016">
        <w:rPr>
          <w:rFonts w:ascii="Times New Roman" w:hAnsi="Times New Roman"/>
          <w:sz w:val="24"/>
          <w:szCs w:val="24"/>
          <w:lang w:val="en-US" w:eastAsia="en-GB"/>
        </w:rPr>
        <w:t>knowledge transfer activities and</w:t>
      </w:r>
      <w:r w:rsidRPr="007D4016">
        <w:rPr>
          <w:rFonts w:ascii="Times New Roman" w:hAnsi="Times New Roman"/>
          <w:sz w:val="24"/>
          <w:szCs w:val="24"/>
          <w:lang w:val="en-US" w:eastAsia="en-GB"/>
        </w:rPr>
        <w:t xml:space="preserve"> more</w:t>
      </w:r>
      <w:r w:rsidR="00C24C35" w:rsidRPr="007D4016">
        <w:rPr>
          <w:rFonts w:ascii="Times New Roman" w:hAnsi="Times New Roman"/>
          <w:sz w:val="24"/>
          <w:szCs w:val="24"/>
          <w:lang w:val="en-US" w:eastAsia="en-GB"/>
        </w:rPr>
        <w:t>. The institutional changes that are expected to follow will prompt public institutions to be more market</w:t>
      </w:r>
      <w:r w:rsidR="00B359DB">
        <w:rPr>
          <w:rFonts w:ascii="Times New Roman" w:hAnsi="Times New Roman"/>
          <w:sz w:val="24"/>
          <w:szCs w:val="24"/>
          <w:lang w:val="en-US" w:eastAsia="en-GB"/>
        </w:rPr>
        <w:t>-</w:t>
      </w:r>
      <w:r w:rsidR="00C24C35" w:rsidRPr="007D4016">
        <w:rPr>
          <w:rFonts w:ascii="Times New Roman" w:hAnsi="Times New Roman"/>
          <w:sz w:val="24"/>
          <w:szCs w:val="24"/>
          <w:lang w:val="en-US" w:eastAsia="en-GB"/>
        </w:rPr>
        <w:t>oriented and as such more like private institutions</w:t>
      </w:r>
      <w:r w:rsidR="00BE273B" w:rsidRPr="007D4016">
        <w:rPr>
          <w:rFonts w:ascii="Times New Roman" w:hAnsi="Times New Roman"/>
          <w:sz w:val="24"/>
          <w:szCs w:val="24"/>
          <w:lang w:val="en-US" w:eastAsia="en-GB"/>
        </w:rPr>
        <w:t xml:space="preserve">. </w:t>
      </w:r>
      <w:r w:rsidR="00C24C35" w:rsidRPr="007D4016">
        <w:rPr>
          <w:rFonts w:ascii="Times New Roman" w:hAnsi="Times New Roman"/>
          <w:sz w:val="24"/>
          <w:szCs w:val="24"/>
          <w:lang w:val="en-US" w:eastAsia="en-GB"/>
        </w:rPr>
        <w:t xml:space="preserve">The likelihood for </w:t>
      </w:r>
      <w:r w:rsidR="00BE273B" w:rsidRPr="007D4016">
        <w:rPr>
          <w:rFonts w:ascii="Times New Roman" w:hAnsi="Times New Roman"/>
          <w:sz w:val="24"/>
          <w:szCs w:val="24"/>
          <w:lang w:val="en-US" w:eastAsia="en-GB"/>
        </w:rPr>
        <w:t>knowledge transfer</w:t>
      </w:r>
      <w:r w:rsidR="00C24C35" w:rsidRPr="007D4016">
        <w:rPr>
          <w:rFonts w:ascii="Times New Roman" w:hAnsi="Times New Roman"/>
          <w:sz w:val="24"/>
          <w:szCs w:val="24"/>
          <w:lang w:val="en-US" w:eastAsia="en-GB"/>
        </w:rPr>
        <w:t xml:space="preserve"> policies to be implemented in prac</w:t>
      </w:r>
      <w:r w:rsidR="00BE273B" w:rsidRPr="007D4016">
        <w:rPr>
          <w:rFonts w:ascii="Times New Roman" w:hAnsi="Times New Roman"/>
          <w:sz w:val="24"/>
          <w:szCs w:val="24"/>
          <w:lang w:val="en-US" w:eastAsia="en-GB"/>
        </w:rPr>
        <w:t xml:space="preserve">tice </w:t>
      </w:r>
      <w:r w:rsidR="00F56FD6" w:rsidRPr="007D4016">
        <w:rPr>
          <w:rFonts w:ascii="Times New Roman" w:hAnsi="Times New Roman"/>
          <w:sz w:val="24"/>
          <w:szCs w:val="24"/>
          <w:lang w:val="en-US" w:eastAsia="en-GB"/>
        </w:rPr>
        <w:t xml:space="preserve">also </w:t>
      </w:r>
      <w:r w:rsidR="00BE273B" w:rsidRPr="007D4016">
        <w:rPr>
          <w:rFonts w:ascii="Times New Roman" w:hAnsi="Times New Roman"/>
          <w:sz w:val="24"/>
          <w:szCs w:val="24"/>
          <w:lang w:val="en-US" w:eastAsia="en-GB"/>
        </w:rPr>
        <w:t xml:space="preserve">appears </w:t>
      </w:r>
      <w:r w:rsidR="00F56FD6" w:rsidRPr="007D4016">
        <w:rPr>
          <w:rFonts w:ascii="Times New Roman" w:hAnsi="Times New Roman"/>
          <w:sz w:val="24"/>
          <w:szCs w:val="24"/>
          <w:lang w:val="en-US" w:eastAsia="en-GB"/>
        </w:rPr>
        <w:t xml:space="preserve">to be </w:t>
      </w:r>
      <w:r w:rsidR="00BE273B" w:rsidRPr="007D4016">
        <w:rPr>
          <w:rFonts w:ascii="Times New Roman" w:hAnsi="Times New Roman"/>
          <w:sz w:val="24"/>
          <w:szCs w:val="24"/>
          <w:lang w:val="en-US" w:eastAsia="en-GB"/>
        </w:rPr>
        <w:t xml:space="preserve">high since academics in the region are fairly </w:t>
      </w:r>
      <w:r w:rsidR="005A45D6" w:rsidRPr="007D4016">
        <w:rPr>
          <w:rFonts w:ascii="Times New Roman" w:hAnsi="Times New Roman"/>
          <w:sz w:val="24"/>
          <w:szCs w:val="24"/>
          <w:lang w:val="en-US" w:eastAsia="en-GB"/>
        </w:rPr>
        <w:t>favorable</w:t>
      </w:r>
      <w:r w:rsidR="00BE273B" w:rsidRPr="007D4016">
        <w:rPr>
          <w:rFonts w:ascii="Times New Roman" w:hAnsi="Times New Roman"/>
          <w:sz w:val="24"/>
          <w:szCs w:val="24"/>
          <w:lang w:val="en-US" w:eastAsia="en-GB"/>
        </w:rPr>
        <w:t xml:space="preserve">. In </w:t>
      </w:r>
      <w:r w:rsidR="00F56FD6" w:rsidRPr="007D4016">
        <w:rPr>
          <w:rFonts w:ascii="Times New Roman" w:hAnsi="Times New Roman"/>
          <w:sz w:val="24"/>
          <w:szCs w:val="24"/>
          <w:lang w:val="en-US" w:eastAsia="en-GB"/>
        </w:rPr>
        <w:t>our</w:t>
      </w:r>
      <w:r w:rsidR="00BE273B" w:rsidRPr="007D4016">
        <w:rPr>
          <w:rFonts w:ascii="Times New Roman" w:hAnsi="Times New Roman"/>
          <w:sz w:val="24"/>
          <w:szCs w:val="24"/>
          <w:lang w:val="en-US" w:eastAsia="en-GB"/>
        </w:rPr>
        <w:t xml:space="preserve"> survey</w:t>
      </w:r>
      <w:r w:rsidR="00F56FD6" w:rsidRPr="007D4016">
        <w:rPr>
          <w:rFonts w:ascii="Times New Roman" w:hAnsi="Times New Roman"/>
          <w:sz w:val="24"/>
          <w:szCs w:val="24"/>
          <w:lang w:val="en-US" w:eastAsia="en-GB"/>
        </w:rPr>
        <w:t>,</w:t>
      </w:r>
      <w:r w:rsidR="00BE273B" w:rsidRPr="007D4016">
        <w:rPr>
          <w:rFonts w:ascii="Times New Roman" w:hAnsi="Times New Roman"/>
          <w:sz w:val="24"/>
          <w:szCs w:val="24"/>
          <w:lang w:val="en-US" w:eastAsia="en-GB"/>
        </w:rPr>
        <w:t xml:space="preserve"> we asked academics for their opinion on their institutions’ current priorities for university-industry collaboration and their desired priorities. In all countries</w:t>
      </w:r>
      <w:r w:rsidR="00F56FD6" w:rsidRPr="007D4016">
        <w:rPr>
          <w:rFonts w:ascii="Times New Roman" w:hAnsi="Times New Roman"/>
          <w:sz w:val="24"/>
          <w:szCs w:val="24"/>
          <w:lang w:val="en-US" w:eastAsia="en-GB"/>
        </w:rPr>
        <w:t>,</w:t>
      </w:r>
      <w:r w:rsidR="00BE273B" w:rsidRPr="007D4016">
        <w:rPr>
          <w:rFonts w:ascii="Times New Roman" w:hAnsi="Times New Roman"/>
          <w:sz w:val="24"/>
          <w:szCs w:val="24"/>
          <w:lang w:val="en-US" w:eastAsia="en-GB"/>
        </w:rPr>
        <w:t xml:space="preserve"> the respondents </w:t>
      </w:r>
      <w:r w:rsidR="00F56FD6" w:rsidRPr="007D4016">
        <w:rPr>
          <w:rFonts w:ascii="Times New Roman" w:hAnsi="Times New Roman"/>
          <w:sz w:val="24"/>
          <w:szCs w:val="24"/>
          <w:lang w:val="en-US" w:eastAsia="en-GB"/>
        </w:rPr>
        <w:t xml:space="preserve">overwhelmingly agreed that these were not as high as they should be </w:t>
      </w:r>
      <w:r w:rsidR="00BE273B" w:rsidRPr="007D4016">
        <w:rPr>
          <w:rFonts w:ascii="Times New Roman" w:hAnsi="Times New Roman"/>
          <w:sz w:val="24"/>
          <w:szCs w:val="24"/>
          <w:lang w:val="en-US" w:eastAsia="en-GB"/>
        </w:rPr>
        <w:t xml:space="preserve">(see Figure 4). </w:t>
      </w:r>
    </w:p>
    <w:p w14:paraId="77985FBE" w14:textId="77777777" w:rsidR="00A44DD0" w:rsidRPr="007D4016" w:rsidRDefault="00A44DD0" w:rsidP="00A44DD0">
      <w:pPr>
        <w:autoSpaceDE w:val="0"/>
        <w:autoSpaceDN w:val="0"/>
        <w:adjustRightInd w:val="0"/>
        <w:spacing w:after="0" w:line="240" w:lineRule="auto"/>
        <w:jc w:val="both"/>
        <w:rPr>
          <w:rFonts w:ascii="Times New Roman" w:hAnsi="Times New Roman"/>
          <w:sz w:val="24"/>
          <w:szCs w:val="24"/>
          <w:lang w:val="en-US" w:eastAsia="en-GB"/>
        </w:rPr>
      </w:pPr>
    </w:p>
    <w:p w14:paraId="2B9DF974" w14:textId="6681351F" w:rsidR="00E83F04" w:rsidRPr="007D4016" w:rsidRDefault="00E83F04" w:rsidP="0052103B">
      <w:pPr>
        <w:spacing w:after="100" w:afterAutospacing="1" w:line="240" w:lineRule="auto"/>
        <w:jc w:val="both"/>
        <w:rPr>
          <w:rFonts w:ascii="Times New Roman" w:hAnsi="Times New Roman"/>
          <w:sz w:val="24"/>
          <w:szCs w:val="24"/>
          <w:lang w:val="en-US"/>
        </w:rPr>
      </w:pPr>
      <w:r w:rsidRPr="007D4016">
        <w:rPr>
          <w:rFonts w:ascii="Times New Roman" w:hAnsi="Times New Roman"/>
          <w:sz w:val="24"/>
          <w:szCs w:val="24"/>
          <w:lang w:val="en-US"/>
        </w:rPr>
        <w:t xml:space="preserve">Figure 4: Academics’ </w:t>
      </w:r>
      <w:r w:rsidR="00BE273B" w:rsidRPr="007D4016">
        <w:rPr>
          <w:rFonts w:ascii="Times New Roman" w:hAnsi="Times New Roman"/>
          <w:sz w:val="24"/>
          <w:szCs w:val="24"/>
          <w:lang w:val="en-US"/>
        </w:rPr>
        <w:t>opinions</w:t>
      </w:r>
      <w:r w:rsidRPr="007D4016">
        <w:rPr>
          <w:rFonts w:ascii="Times New Roman" w:hAnsi="Times New Roman"/>
          <w:sz w:val="24"/>
          <w:szCs w:val="24"/>
          <w:lang w:val="en-US"/>
        </w:rPr>
        <w:t xml:space="preserve"> </w:t>
      </w:r>
      <w:r w:rsidR="004667C8">
        <w:rPr>
          <w:rFonts w:ascii="Times New Roman" w:hAnsi="Times New Roman"/>
          <w:sz w:val="24"/>
          <w:szCs w:val="24"/>
          <w:lang w:val="en-US"/>
        </w:rPr>
        <w:t>about the desired and current priorities of higher education institutions for</w:t>
      </w:r>
      <w:r w:rsidRPr="007D4016">
        <w:rPr>
          <w:rFonts w:ascii="Times New Roman" w:hAnsi="Times New Roman"/>
          <w:sz w:val="24"/>
          <w:szCs w:val="24"/>
          <w:lang w:val="en-US"/>
        </w:rPr>
        <w:t xml:space="preserve"> innovation and cooperation with industry (</w:t>
      </w:r>
      <w:r w:rsidRPr="007D4016">
        <w:rPr>
          <w:rFonts w:ascii="Times New Roman" w:hAnsi="Times New Roman"/>
          <w:i/>
          <w:sz w:val="24"/>
          <w:szCs w:val="24"/>
          <w:lang w:val="en-US"/>
        </w:rPr>
        <w:t>5: very important; 1: not important</w:t>
      </w:r>
      <w:r w:rsidRPr="007D4016">
        <w:rPr>
          <w:rFonts w:ascii="Times New Roman" w:hAnsi="Times New Roman"/>
          <w:sz w:val="24"/>
          <w:szCs w:val="24"/>
          <w:lang w:val="en-US"/>
        </w:rPr>
        <w:t xml:space="preserve">) (N=1,678; </w:t>
      </w:r>
      <w:r w:rsidR="00E94582" w:rsidRPr="007D4016">
        <w:rPr>
          <w:rFonts w:ascii="Times New Roman" w:hAnsi="Times New Roman"/>
          <w:sz w:val="24"/>
          <w:szCs w:val="24"/>
          <w:lang w:val="en-US"/>
        </w:rPr>
        <w:t>Zgaga et al.,</w:t>
      </w:r>
      <w:r w:rsidRPr="007D4016">
        <w:rPr>
          <w:rFonts w:ascii="Times New Roman" w:hAnsi="Times New Roman"/>
          <w:sz w:val="24"/>
          <w:szCs w:val="24"/>
          <w:lang w:val="en-US"/>
        </w:rPr>
        <w:t xml:space="preserve"> 2012)</w:t>
      </w:r>
    </w:p>
    <w:p w14:paraId="6677B3AD" w14:textId="77777777" w:rsidR="00E83F04" w:rsidRPr="007D4016" w:rsidRDefault="00E83F04" w:rsidP="0052103B">
      <w:pPr>
        <w:spacing w:after="100" w:afterAutospacing="1" w:line="240" w:lineRule="auto"/>
        <w:jc w:val="both"/>
        <w:rPr>
          <w:rFonts w:ascii="Times New Roman" w:hAnsi="Times New Roman"/>
          <w:sz w:val="24"/>
          <w:szCs w:val="24"/>
          <w:lang w:val="en-US"/>
        </w:rPr>
      </w:pPr>
      <w:r w:rsidRPr="007D4016">
        <w:rPr>
          <w:rFonts w:ascii="Times New Roman" w:hAnsi="Times New Roman"/>
          <w:noProof/>
          <w:sz w:val="24"/>
          <w:szCs w:val="24"/>
          <w:lang w:eastAsia="en-GB"/>
        </w:rPr>
        <w:drawing>
          <wp:inline distT="0" distB="0" distL="0" distR="0" wp14:anchorId="105FFDB8" wp14:editId="4D954101">
            <wp:extent cx="4572000" cy="274320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34DA34" w14:textId="77777777" w:rsidR="00C70D0F" w:rsidRPr="007D4016" w:rsidRDefault="00C70D0F" w:rsidP="0052103B">
      <w:pPr>
        <w:spacing w:after="100" w:afterAutospacing="1" w:line="240" w:lineRule="auto"/>
        <w:jc w:val="both"/>
        <w:rPr>
          <w:rFonts w:ascii="Times New Roman" w:hAnsi="Times New Roman"/>
          <w:sz w:val="24"/>
          <w:szCs w:val="24"/>
          <w:lang w:val="en-US" w:eastAsia="en-GB"/>
        </w:rPr>
      </w:pPr>
    </w:p>
    <w:p w14:paraId="72640FCD" w14:textId="1450D71A" w:rsidR="00C70D0F" w:rsidRPr="007D4016" w:rsidRDefault="00C70D0F" w:rsidP="0052103B">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In sum, </w:t>
      </w:r>
      <w:r w:rsidR="00BE273B" w:rsidRPr="007D4016">
        <w:rPr>
          <w:rFonts w:ascii="Times New Roman" w:hAnsi="Times New Roman"/>
          <w:sz w:val="24"/>
          <w:szCs w:val="24"/>
          <w:lang w:val="en-US" w:eastAsia="en-GB"/>
        </w:rPr>
        <w:t xml:space="preserve">we </w:t>
      </w:r>
      <w:r w:rsidR="00F56FD6" w:rsidRPr="007D4016">
        <w:rPr>
          <w:rFonts w:ascii="Times New Roman" w:hAnsi="Times New Roman"/>
          <w:sz w:val="24"/>
          <w:szCs w:val="24"/>
          <w:lang w:val="en-US" w:eastAsia="en-GB"/>
        </w:rPr>
        <w:t>clearly see</w:t>
      </w:r>
      <w:r w:rsidR="00BE273B" w:rsidRPr="007D4016">
        <w:rPr>
          <w:rFonts w:ascii="Times New Roman" w:hAnsi="Times New Roman"/>
          <w:sz w:val="24"/>
          <w:szCs w:val="24"/>
          <w:lang w:val="en-US" w:eastAsia="en-GB"/>
        </w:rPr>
        <w:t xml:space="preserve"> governments’ public policy choices towards more diversified revenue sources </w:t>
      </w:r>
      <w:r w:rsidR="004667C8">
        <w:rPr>
          <w:rFonts w:ascii="Times New Roman" w:hAnsi="Times New Roman"/>
          <w:sz w:val="24"/>
          <w:szCs w:val="24"/>
          <w:lang w:val="en-US" w:eastAsia="en-GB"/>
        </w:rPr>
        <w:t>in</w:t>
      </w:r>
      <w:r w:rsidR="00BE273B" w:rsidRPr="007D4016">
        <w:rPr>
          <w:rFonts w:ascii="Times New Roman" w:hAnsi="Times New Roman"/>
          <w:sz w:val="24"/>
          <w:szCs w:val="24"/>
          <w:lang w:val="en-US" w:eastAsia="en-GB"/>
        </w:rPr>
        <w:t xml:space="preserve"> public universities. There are differences among countries as to which measures are especially pronounced. In all countries but Slovenia, </w:t>
      </w:r>
      <w:r w:rsidR="00F56FD6" w:rsidRPr="007D4016">
        <w:rPr>
          <w:rFonts w:ascii="Times New Roman" w:hAnsi="Times New Roman"/>
          <w:sz w:val="24"/>
          <w:szCs w:val="24"/>
          <w:lang w:val="en-US" w:eastAsia="en-GB"/>
        </w:rPr>
        <w:t xml:space="preserve">the </w:t>
      </w:r>
      <w:r w:rsidR="00BE273B" w:rsidRPr="007D4016">
        <w:rPr>
          <w:rFonts w:ascii="Times New Roman" w:hAnsi="Times New Roman"/>
          <w:sz w:val="24"/>
          <w:szCs w:val="24"/>
          <w:lang w:val="en-US" w:eastAsia="en-GB"/>
        </w:rPr>
        <w:t xml:space="preserve">majority of students pay </w:t>
      </w:r>
      <w:r w:rsidR="004B2E9E" w:rsidRPr="007D4016">
        <w:rPr>
          <w:rFonts w:ascii="Times New Roman" w:hAnsi="Times New Roman"/>
          <w:sz w:val="24"/>
          <w:szCs w:val="24"/>
          <w:lang w:val="en-US" w:eastAsia="en-GB"/>
        </w:rPr>
        <w:t xml:space="preserve">some share of their study cost. </w:t>
      </w:r>
      <w:r w:rsidR="00BE273B" w:rsidRPr="007D4016">
        <w:rPr>
          <w:rFonts w:ascii="Times New Roman" w:hAnsi="Times New Roman"/>
          <w:sz w:val="24"/>
          <w:szCs w:val="24"/>
          <w:lang w:val="en-US" w:eastAsia="en-GB"/>
        </w:rPr>
        <w:t xml:space="preserve">However, these tuition fees cover only a share of the total study cost per student and are as such usually lower than fees charged </w:t>
      </w:r>
      <w:r w:rsidR="004667C8">
        <w:rPr>
          <w:rFonts w:ascii="Times New Roman" w:hAnsi="Times New Roman"/>
          <w:sz w:val="24"/>
          <w:szCs w:val="24"/>
          <w:lang w:val="en-US" w:eastAsia="en-GB"/>
        </w:rPr>
        <w:t>by</w:t>
      </w:r>
      <w:r w:rsidR="00BE273B" w:rsidRPr="007D4016">
        <w:rPr>
          <w:rFonts w:ascii="Times New Roman" w:hAnsi="Times New Roman"/>
          <w:sz w:val="24"/>
          <w:szCs w:val="24"/>
          <w:lang w:val="en-US" w:eastAsia="en-GB"/>
        </w:rPr>
        <w:t xml:space="preserve"> private institutions. </w:t>
      </w:r>
      <w:r w:rsidR="00A50115" w:rsidRPr="007D4016">
        <w:rPr>
          <w:rFonts w:ascii="Times New Roman" w:hAnsi="Times New Roman"/>
          <w:sz w:val="24"/>
          <w:szCs w:val="24"/>
          <w:lang w:val="en-US" w:eastAsia="en-GB"/>
        </w:rPr>
        <w:t>In Slovenia, no tuition fees are charged for full-time undergraduate students and there is a small share of fee-paying part-time st</w:t>
      </w:r>
      <w:r w:rsidR="00BE273B" w:rsidRPr="007D4016">
        <w:rPr>
          <w:rFonts w:ascii="Times New Roman" w:hAnsi="Times New Roman"/>
          <w:sz w:val="24"/>
          <w:szCs w:val="24"/>
          <w:lang w:val="en-US" w:eastAsia="en-GB"/>
        </w:rPr>
        <w:t xml:space="preserve">udents </w:t>
      </w:r>
      <w:r w:rsidR="004667C8">
        <w:rPr>
          <w:rFonts w:ascii="Times New Roman" w:hAnsi="Times New Roman"/>
          <w:sz w:val="24"/>
          <w:szCs w:val="24"/>
          <w:lang w:val="en-US" w:eastAsia="en-GB"/>
        </w:rPr>
        <w:t>in</w:t>
      </w:r>
      <w:r w:rsidR="00BE273B" w:rsidRPr="007D4016">
        <w:rPr>
          <w:rFonts w:ascii="Times New Roman" w:hAnsi="Times New Roman"/>
          <w:sz w:val="24"/>
          <w:szCs w:val="24"/>
          <w:lang w:val="en-US" w:eastAsia="en-GB"/>
        </w:rPr>
        <w:t xml:space="preserve"> public institutions. </w:t>
      </w:r>
      <w:r w:rsidR="00A50115" w:rsidRPr="007D4016">
        <w:rPr>
          <w:rFonts w:ascii="Times New Roman" w:hAnsi="Times New Roman"/>
          <w:sz w:val="24"/>
          <w:szCs w:val="24"/>
          <w:lang w:val="en-US" w:eastAsia="en-GB"/>
        </w:rPr>
        <w:t>However, as discussed above, students enrolled in concessionary programs in private institutions also do not pay any tuition</w:t>
      </w:r>
      <w:r w:rsidR="00BE273B" w:rsidRPr="007D4016">
        <w:rPr>
          <w:rFonts w:ascii="Times New Roman" w:hAnsi="Times New Roman"/>
          <w:sz w:val="24"/>
          <w:szCs w:val="24"/>
          <w:lang w:val="en-US" w:eastAsia="en-GB"/>
        </w:rPr>
        <w:t xml:space="preserve">. </w:t>
      </w:r>
      <w:r w:rsidR="009304BF" w:rsidRPr="007D4016">
        <w:rPr>
          <w:rFonts w:ascii="Times New Roman" w:hAnsi="Times New Roman"/>
          <w:sz w:val="24"/>
          <w:szCs w:val="24"/>
          <w:lang w:val="en-US" w:eastAsia="en-GB"/>
        </w:rPr>
        <w:t>Furthermore, in all countries we observe policy developments towards strengthening university</w:t>
      </w:r>
      <w:r w:rsidR="00A50115" w:rsidRPr="007D4016">
        <w:rPr>
          <w:rFonts w:ascii="Times New Roman" w:hAnsi="Times New Roman"/>
          <w:sz w:val="24"/>
          <w:szCs w:val="24"/>
          <w:lang w:val="en-US" w:eastAsia="en-GB"/>
        </w:rPr>
        <w:t xml:space="preserve"> </w:t>
      </w:r>
      <w:r w:rsidR="009304BF" w:rsidRPr="007D4016">
        <w:rPr>
          <w:rFonts w:ascii="Times New Roman" w:hAnsi="Times New Roman"/>
          <w:sz w:val="24"/>
          <w:szCs w:val="24"/>
          <w:lang w:val="en-US" w:eastAsia="en-GB"/>
        </w:rPr>
        <w:t xml:space="preserve">links with industry through knowledge transfer activities. The underlying aim is to help universities acquire revenue from private sources, the implication being that they begin to be more market-oriented, and thus in a way behave more like private institutions.  </w:t>
      </w:r>
    </w:p>
    <w:p w14:paraId="03BF11E7" w14:textId="77777777" w:rsidR="00A578BD" w:rsidRPr="007D4016" w:rsidRDefault="00A578BD" w:rsidP="00A578BD">
      <w:pPr>
        <w:pStyle w:val="Heading1"/>
        <w:spacing w:before="0" w:after="100" w:afterAutospacing="1" w:line="240" w:lineRule="auto"/>
        <w:jc w:val="both"/>
        <w:rPr>
          <w:rFonts w:ascii="Times New Roman" w:hAnsi="Times New Roman"/>
          <w:color w:val="auto"/>
          <w:sz w:val="24"/>
          <w:szCs w:val="24"/>
          <w:lang w:val="en-US"/>
        </w:rPr>
      </w:pPr>
      <w:r w:rsidRPr="007D4016">
        <w:rPr>
          <w:rFonts w:ascii="Times New Roman" w:hAnsi="Times New Roman"/>
          <w:color w:val="auto"/>
          <w:sz w:val="24"/>
          <w:szCs w:val="24"/>
          <w:lang w:val="en-US"/>
        </w:rPr>
        <w:t>Conclusion</w:t>
      </w:r>
    </w:p>
    <w:p w14:paraId="541E8A15" w14:textId="040AFA99" w:rsidR="00A578BD" w:rsidRPr="007D4016" w:rsidRDefault="004667C8" w:rsidP="00A578BD">
      <w:pPr>
        <w:spacing w:after="100" w:afterAutospacing="1" w:line="240" w:lineRule="auto"/>
        <w:jc w:val="both"/>
        <w:rPr>
          <w:rFonts w:ascii="Times New Roman" w:hAnsi="Times New Roman"/>
          <w:sz w:val="24"/>
          <w:szCs w:val="24"/>
          <w:lang w:val="en-US" w:eastAsia="en-GB"/>
        </w:rPr>
      </w:pPr>
      <w:r>
        <w:rPr>
          <w:rFonts w:ascii="Times New Roman" w:hAnsi="Times New Roman"/>
          <w:sz w:val="24"/>
          <w:szCs w:val="24"/>
          <w:lang w:val="en-US" w:eastAsia="en-GB"/>
        </w:rPr>
        <w:t>In the Balkan countries, r</w:t>
      </w:r>
      <w:r w:rsidR="00A578BD" w:rsidRPr="007D4016">
        <w:rPr>
          <w:rFonts w:ascii="Times New Roman" w:hAnsi="Times New Roman"/>
          <w:sz w:val="24"/>
          <w:szCs w:val="24"/>
          <w:lang w:val="en-US" w:eastAsia="en-GB"/>
        </w:rPr>
        <w:t xml:space="preserve">ising student demand and transition to market economies have led to </w:t>
      </w:r>
      <w:r w:rsidR="00595AA6" w:rsidRPr="007D4016">
        <w:rPr>
          <w:rFonts w:ascii="Times New Roman" w:hAnsi="Times New Roman"/>
          <w:sz w:val="24"/>
          <w:szCs w:val="24"/>
          <w:lang w:val="en-US" w:eastAsia="en-GB"/>
        </w:rPr>
        <w:t xml:space="preserve">the </w:t>
      </w:r>
      <w:r w:rsidR="00A578BD" w:rsidRPr="007D4016">
        <w:rPr>
          <w:rFonts w:ascii="Times New Roman" w:hAnsi="Times New Roman"/>
          <w:sz w:val="24"/>
          <w:szCs w:val="24"/>
          <w:lang w:val="en-US" w:eastAsia="en-GB"/>
        </w:rPr>
        <w:t xml:space="preserve">emergence of private providers. Some private institutions emerged </w:t>
      </w:r>
      <w:r w:rsidR="00672530" w:rsidRPr="007D4016">
        <w:rPr>
          <w:rFonts w:ascii="Times New Roman" w:hAnsi="Times New Roman"/>
          <w:sz w:val="24"/>
          <w:szCs w:val="24"/>
          <w:lang w:val="en-US" w:eastAsia="en-GB"/>
        </w:rPr>
        <w:t xml:space="preserve">in the </w:t>
      </w:r>
      <w:r w:rsidR="005040F6" w:rsidRPr="007D4016">
        <w:rPr>
          <w:rFonts w:ascii="Times New Roman" w:hAnsi="Times New Roman"/>
          <w:sz w:val="24"/>
          <w:szCs w:val="24"/>
          <w:lang w:val="en-US" w:eastAsia="en-GB"/>
        </w:rPr>
        <w:t>wake of</w:t>
      </w:r>
      <w:r w:rsidR="00A578BD" w:rsidRPr="007D4016">
        <w:rPr>
          <w:rFonts w:ascii="Times New Roman" w:hAnsi="Times New Roman"/>
          <w:sz w:val="24"/>
          <w:szCs w:val="24"/>
          <w:lang w:val="en-US" w:eastAsia="en-GB"/>
        </w:rPr>
        <w:t xml:space="preserve"> economic </w:t>
      </w:r>
      <w:r w:rsidR="005A45D6" w:rsidRPr="007D4016">
        <w:rPr>
          <w:rFonts w:ascii="Times New Roman" w:hAnsi="Times New Roman"/>
          <w:sz w:val="24"/>
          <w:szCs w:val="24"/>
          <w:lang w:val="en-US" w:eastAsia="en-GB"/>
        </w:rPr>
        <w:t>liberalization</w:t>
      </w:r>
      <w:r w:rsidR="00A578BD" w:rsidRPr="007D4016">
        <w:rPr>
          <w:rFonts w:ascii="Times New Roman" w:hAnsi="Times New Roman"/>
          <w:sz w:val="24"/>
          <w:szCs w:val="24"/>
          <w:lang w:val="en-US" w:eastAsia="en-GB"/>
        </w:rPr>
        <w:t xml:space="preserve"> </w:t>
      </w:r>
      <w:r w:rsidR="00672530" w:rsidRPr="007D4016">
        <w:rPr>
          <w:rFonts w:ascii="Times New Roman" w:hAnsi="Times New Roman"/>
          <w:sz w:val="24"/>
          <w:szCs w:val="24"/>
          <w:lang w:val="en-US" w:eastAsia="en-GB"/>
        </w:rPr>
        <w:t xml:space="preserve">even </w:t>
      </w:r>
      <w:r w:rsidR="00A578BD" w:rsidRPr="007D4016">
        <w:rPr>
          <w:rFonts w:ascii="Times New Roman" w:hAnsi="Times New Roman"/>
          <w:sz w:val="24"/>
          <w:szCs w:val="24"/>
          <w:lang w:val="en-US" w:eastAsia="en-GB"/>
        </w:rPr>
        <w:t>before states regulated their existence</w:t>
      </w:r>
      <w:r>
        <w:rPr>
          <w:rFonts w:ascii="Times New Roman" w:hAnsi="Times New Roman"/>
          <w:sz w:val="24"/>
          <w:szCs w:val="24"/>
          <w:lang w:val="en-US" w:eastAsia="en-GB"/>
        </w:rPr>
        <w:t>. However</w:t>
      </w:r>
      <w:r w:rsidR="00A578BD" w:rsidRPr="007D4016">
        <w:rPr>
          <w:rFonts w:ascii="Times New Roman" w:hAnsi="Times New Roman"/>
          <w:sz w:val="24"/>
          <w:szCs w:val="24"/>
          <w:lang w:val="en-US" w:eastAsia="en-GB"/>
        </w:rPr>
        <w:t xml:space="preserve">, rapid growth followed once legal provisions were introduced in higher education legislation. Even though the absolute number of private higher education institutions has grown significantly over the last two decades, the growth in </w:t>
      </w:r>
      <w:r w:rsidR="00672530" w:rsidRPr="007D4016">
        <w:rPr>
          <w:rFonts w:ascii="Times New Roman" w:hAnsi="Times New Roman"/>
          <w:sz w:val="24"/>
          <w:szCs w:val="24"/>
          <w:lang w:val="en-US" w:eastAsia="en-GB"/>
        </w:rPr>
        <w:t xml:space="preserve">their </w:t>
      </w:r>
      <w:r w:rsidR="00A578BD" w:rsidRPr="007D4016">
        <w:rPr>
          <w:rFonts w:ascii="Times New Roman" w:hAnsi="Times New Roman"/>
          <w:sz w:val="24"/>
          <w:szCs w:val="24"/>
          <w:lang w:val="en-US" w:eastAsia="en-GB"/>
        </w:rPr>
        <w:t xml:space="preserve">share of </w:t>
      </w:r>
      <w:r w:rsidR="00672530" w:rsidRPr="007D4016">
        <w:rPr>
          <w:rFonts w:ascii="Times New Roman" w:hAnsi="Times New Roman"/>
          <w:sz w:val="24"/>
          <w:szCs w:val="24"/>
          <w:lang w:val="en-US" w:eastAsia="en-GB"/>
        </w:rPr>
        <w:t xml:space="preserve">the </w:t>
      </w:r>
      <w:r w:rsidR="00A578BD" w:rsidRPr="007D4016">
        <w:rPr>
          <w:rFonts w:ascii="Times New Roman" w:hAnsi="Times New Roman"/>
          <w:sz w:val="24"/>
          <w:szCs w:val="24"/>
          <w:lang w:val="en-US" w:eastAsia="en-GB"/>
        </w:rPr>
        <w:t xml:space="preserve">national student body has not been equally dramatic and the majority of students are </w:t>
      </w:r>
      <w:r w:rsidR="00672530" w:rsidRPr="007D4016">
        <w:rPr>
          <w:rFonts w:ascii="Times New Roman" w:hAnsi="Times New Roman"/>
          <w:sz w:val="24"/>
          <w:szCs w:val="24"/>
          <w:lang w:val="en-US" w:eastAsia="en-GB"/>
        </w:rPr>
        <w:t xml:space="preserve">still </w:t>
      </w:r>
      <w:r w:rsidR="00A578BD" w:rsidRPr="007D4016">
        <w:rPr>
          <w:rFonts w:ascii="Times New Roman" w:hAnsi="Times New Roman"/>
          <w:sz w:val="24"/>
          <w:szCs w:val="24"/>
          <w:lang w:val="en-US" w:eastAsia="en-GB"/>
        </w:rPr>
        <w:t>enrolled in public higher education institutions. T</w:t>
      </w:r>
      <w:r w:rsidR="00A578BD" w:rsidRPr="007D4016">
        <w:rPr>
          <w:rFonts w:ascii="Times New Roman" w:hAnsi="Times New Roman"/>
          <w:sz w:val="24"/>
          <w:szCs w:val="24"/>
          <w:lang w:val="en-US"/>
        </w:rPr>
        <w:t xml:space="preserve">he higher education systems continue to be </w:t>
      </w:r>
      <w:r w:rsidR="00672530" w:rsidRPr="007D4016">
        <w:rPr>
          <w:rFonts w:ascii="Times New Roman" w:hAnsi="Times New Roman"/>
          <w:sz w:val="24"/>
          <w:szCs w:val="24"/>
          <w:lang w:val="en-US"/>
        </w:rPr>
        <w:t>hierarchical with</w:t>
      </w:r>
      <w:r w:rsidR="00A578BD" w:rsidRPr="007D4016">
        <w:rPr>
          <w:rFonts w:ascii="Times New Roman" w:hAnsi="Times New Roman"/>
          <w:sz w:val="24"/>
          <w:szCs w:val="24"/>
          <w:lang w:val="en-US"/>
        </w:rPr>
        <w:t xml:space="preserve"> a “national university” at the top of the hierarchy </w:t>
      </w:r>
      <w:r w:rsidR="00672530" w:rsidRPr="007D4016">
        <w:rPr>
          <w:rFonts w:ascii="Times New Roman" w:hAnsi="Times New Roman"/>
          <w:sz w:val="24"/>
          <w:szCs w:val="24"/>
          <w:lang w:val="en-US"/>
        </w:rPr>
        <w:t>due to</w:t>
      </w:r>
      <w:r w:rsidR="00A578BD" w:rsidRPr="007D4016">
        <w:rPr>
          <w:rFonts w:ascii="Times New Roman" w:hAnsi="Times New Roman"/>
          <w:sz w:val="24"/>
          <w:szCs w:val="24"/>
          <w:lang w:val="en-US"/>
        </w:rPr>
        <w:t xml:space="preserve"> location (in </w:t>
      </w:r>
      <w:r>
        <w:rPr>
          <w:rFonts w:ascii="Times New Roman" w:hAnsi="Times New Roman"/>
          <w:sz w:val="24"/>
          <w:szCs w:val="24"/>
          <w:lang w:val="en-US"/>
        </w:rPr>
        <w:t xml:space="preserve">the </w:t>
      </w:r>
      <w:r w:rsidR="00A578BD" w:rsidRPr="007D4016">
        <w:rPr>
          <w:rFonts w:ascii="Times New Roman" w:hAnsi="Times New Roman"/>
          <w:sz w:val="24"/>
          <w:szCs w:val="24"/>
          <w:lang w:val="en-US"/>
        </w:rPr>
        <w:t>capital city), tradition (the oldest)</w:t>
      </w:r>
      <w:r>
        <w:rPr>
          <w:rFonts w:ascii="Times New Roman" w:hAnsi="Times New Roman"/>
          <w:sz w:val="24"/>
          <w:szCs w:val="24"/>
          <w:lang w:val="en-US"/>
        </w:rPr>
        <w:t>,</w:t>
      </w:r>
      <w:r w:rsidR="00A578BD" w:rsidRPr="007D4016">
        <w:rPr>
          <w:rFonts w:ascii="Times New Roman" w:hAnsi="Times New Roman"/>
          <w:sz w:val="24"/>
          <w:szCs w:val="24"/>
          <w:lang w:val="en-US"/>
        </w:rPr>
        <w:t xml:space="preserve"> and size (the largest) (Zgaga et al., 2013). As argued by Zgaga et al. (2013) and Branković (2014)</w:t>
      </w:r>
      <w:r>
        <w:rPr>
          <w:rFonts w:ascii="Times New Roman" w:hAnsi="Times New Roman"/>
          <w:sz w:val="24"/>
          <w:szCs w:val="24"/>
          <w:lang w:val="en-US"/>
        </w:rPr>
        <w:t>,</w:t>
      </w:r>
      <w:r w:rsidR="00A578BD" w:rsidRPr="007D4016">
        <w:rPr>
          <w:rFonts w:ascii="Times New Roman" w:hAnsi="Times New Roman"/>
          <w:sz w:val="24"/>
          <w:szCs w:val="24"/>
          <w:lang w:val="en-US"/>
        </w:rPr>
        <w:t xml:space="preserve"> this status has not been challenged </w:t>
      </w:r>
      <w:r>
        <w:rPr>
          <w:rFonts w:ascii="Times New Roman" w:hAnsi="Times New Roman"/>
          <w:sz w:val="24"/>
          <w:szCs w:val="24"/>
          <w:lang w:val="en-US"/>
        </w:rPr>
        <w:t>by</w:t>
      </w:r>
      <w:r w:rsidR="00A578BD" w:rsidRPr="007D4016">
        <w:rPr>
          <w:rFonts w:ascii="Times New Roman" w:hAnsi="Times New Roman"/>
          <w:sz w:val="24"/>
          <w:szCs w:val="24"/>
          <w:lang w:val="en-US"/>
        </w:rPr>
        <w:t xml:space="preserve"> </w:t>
      </w:r>
      <w:r w:rsidR="00672530" w:rsidRPr="007D4016">
        <w:rPr>
          <w:rFonts w:ascii="Times New Roman" w:hAnsi="Times New Roman"/>
          <w:sz w:val="24"/>
          <w:szCs w:val="24"/>
          <w:lang w:val="en-US"/>
        </w:rPr>
        <w:t xml:space="preserve">the </w:t>
      </w:r>
      <w:r w:rsidR="00A578BD" w:rsidRPr="007D4016">
        <w:rPr>
          <w:rFonts w:ascii="Times New Roman" w:hAnsi="Times New Roman"/>
          <w:sz w:val="24"/>
          <w:szCs w:val="24"/>
          <w:lang w:val="en-US"/>
        </w:rPr>
        <w:t xml:space="preserve">emergence of private providers and market competition. </w:t>
      </w:r>
      <w:r w:rsidR="00A578BD" w:rsidRPr="007D4016">
        <w:rPr>
          <w:rFonts w:ascii="Times New Roman" w:hAnsi="Times New Roman"/>
          <w:sz w:val="24"/>
          <w:szCs w:val="24"/>
          <w:lang w:val="en-US" w:eastAsia="en-GB"/>
        </w:rPr>
        <w:t>The flagship public universities in national capitals (e.g.</w:t>
      </w:r>
      <w:r>
        <w:rPr>
          <w:rFonts w:ascii="Times New Roman" w:hAnsi="Times New Roman"/>
          <w:sz w:val="24"/>
          <w:szCs w:val="24"/>
          <w:lang w:val="en-US" w:eastAsia="en-GB"/>
        </w:rPr>
        <w:t>,</w:t>
      </w:r>
      <w:r w:rsidR="00A578BD" w:rsidRPr="007D4016">
        <w:rPr>
          <w:rFonts w:ascii="Times New Roman" w:hAnsi="Times New Roman"/>
          <w:sz w:val="24"/>
          <w:szCs w:val="24"/>
          <w:lang w:val="en-US" w:eastAsia="en-GB"/>
        </w:rPr>
        <w:t xml:space="preserve"> Belgrade with around 90,000</w:t>
      </w:r>
      <w:r w:rsidR="00672530" w:rsidRPr="007D4016">
        <w:rPr>
          <w:rFonts w:ascii="Times New Roman" w:hAnsi="Times New Roman"/>
          <w:sz w:val="24"/>
          <w:szCs w:val="24"/>
          <w:lang w:val="en-US" w:eastAsia="en-GB"/>
        </w:rPr>
        <w:t xml:space="preserve"> students</w:t>
      </w:r>
      <w:r w:rsidR="00A578BD" w:rsidRPr="007D4016">
        <w:rPr>
          <w:rFonts w:ascii="Times New Roman" w:hAnsi="Times New Roman"/>
          <w:sz w:val="24"/>
          <w:szCs w:val="24"/>
          <w:lang w:val="en-US" w:eastAsia="en-GB"/>
        </w:rPr>
        <w:t>, Zagreb with around 70,000</w:t>
      </w:r>
      <w:r>
        <w:rPr>
          <w:rFonts w:ascii="Times New Roman" w:hAnsi="Times New Roman"/>
          <w:sz w:val="24"/>
          <w:szCs w:val="24"/>
          <w:lang w:val="en-US" w:eastAsia="en-GB"/>
        </w:rPr>
        <w:t>,</w:t>
      </w:r>
      <w:r w:rsidR="00A578BD" w:rsidRPr="007D4016">
        <w:rPr>
          <w:rFonts w:ascii="Times New Roman" w:hAnsi="Times New Roman"/>
          <w:sz w:val="24"/>
          <w:szCs w:val="24"/>
          <w:lang w:val="en-US" w:eastAsia="en-GB"/>
        </w:rPr>
        <w:t xml:space="preserve"> and Ljubljana with around 50,000) still dominate the entire system in terms of student enrolments and resources. </w:t>
      </w:r>
      <w:r w:rsidR="00A578BD" w:rsidRPr="007D4016">
        <w:rPr>
          <w:rFonts w:ascii="Times New Roman" w:hAnsi="Times New Roman"/>
          <w:sz w:val="24"/>
          <w:szCs w:val="24"/>
          <w:lang w:val="en-US"/>
        </w:rPr>
        <w:t xml:space="preserve">Nevertheless, bifurcation along the lines of private and public has created tensions in the region. </w:t>
      </w:r>
      <w:r w:rsidR="00A578BD" w:rsidRPr="007D4016">
        <w:rPr>
          <w:rFonts w:ascii="Times New Roman" w:hAnsi="Times New Roman"/>
          <w:sz w:val="24"/>
          <w:szCs w:val="24"/>
          <w:lang w:val="en-US" w:eastAsia="en-GB"/>
        </w:rPr>
        <w:t xml:space="preserve">It has provoked highly contentious political discourse, perhaps the most persistent and pervasive one in the higher </w:t>
      </w:r>
      <w:r w:rsidR="00F15F1E" w:rsidRPr="007D4016">
        <w:rPr>
          <w:rFonts w:ascii="Times New Roman" w:hAnsi="Times New Roman"/>
          <w:sz w:val="24"/>
          <w:szCs w:val="24"/>
          <w:lang w:val="en-US" w:eastAsia="en-GB"/>
        </w:rPr>
        <w:t>education policies (Zgaga, 2013</w:t>
      </w:r>
      <w:r w:rsidR="00A578BD" w:rsidRPr="007D4016">
        <w:rPr>
          <w:rFonts w:ascii="Times New Roman" w:hAnsi="Times New Roman"/>
          <w:sz w:val="24"/>
          <w:szCs w:val="24"/>
          <w:lang w:val="en-US" w:eastAsia="en-GB"/>
        </w:rPr>
        <w:t>). Governments’ polic</w:t>
      </w:r>
      <w:r w:rsidR="00672530" w:rsidRPr="007D4016">
        <w:rPr>
          <w:rFonts w:ascii="Times New Roman" w:hAnsi="Times New Roman"/>
          <w:sz w:val="24"/>
          <w:szCs w:val="24"/>
          <w:lang w:val="en-US" w:eastAsia="en-GB"/>
        </w:rPr>
        <w:t>ies</w:t>
      </w:r>
      <w:r w:rsidR="00A578BD" w:rsidRPr="007D4016">
        <w:rPr>
          <w:rFonts w:ascii="Times New Roman" w:hAnsi="Times New Roman"/>
          <w:sz w:val="24"/>
          <w:szCs w:val="24"/>
          <w:lang w:val="en-US" w:eastAsia="en-GB"/>
        </w:rPr>
        <w:t xml:space="preserve"> concerning the access of private providers to public resources ha</w:t>
      </w:r>
      <w:r w:rsidR="00672530" w:rsidRPr="007D4016">
        <w:rPr>
          <w:rFonts w:ascii="Times New Roman" w:hAnsi="Times New Roman"/>
          <w:sz w:val="24"/>
          <w:szCs w:val="24"/>
          <w:lang w:val="en-US" w:eastAsia="en-GB"/>
        </w:rPr>
        <w:t>ve</w:t>
      </w:r>
      <w:r w:rsidR="00A578BD" w:rsidRPr="007D4016">
        <w:rPr>
          <w:rFonts w:ascii="Times New Roman" w:hAnsi="Times New Roman"/>
          <w:sz w:val="24"/>
          <w:szCs w:val="24"/>
          <w:lang w:val="en-US" w:eastAsia="en-GB"/>
        </w:rPr>
        <w:t xml:space="preserve"> been a crucial point of contention common to the entire region. </w:t>
      </w:r>
    </w:p>
    <w:p w14:paraId="32A42631" w14:textId="618A0263" w:rsidR="00A578BD" w:rsidRPr="007D4016" w:rsidRDefault="00672530" w:rsidP="00A578BD">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A central point is</w:t>
      </w:r>
      <w:r w:rsidR="00A578BD" w:rsidRPr="007D4016">
        <w:rPr>
          <w:rFonts w:ascii="Times New Roman" w:hAnsi="Times New Roman"/>
          <w:sz w:val="24"/>
          <w:szCs w:val="24"/>
          <w:lang w:val="en-US" w:eastAsia="en-GB"/>
        </w:rPr>
        <w:t xml:space="preserve"> whether private providers have access to state funding for conducting a study </w:t>
      </w:r>
      <w:r w:rsidR="004667C8">
        <w:rPr>
          <w:rFonts w:ascii="Times New Roman" w:hAnsi="Times New Roman"/>
          <w:sz w:val="24"/>
          <w:szCs w:val="24"/>
          <w:lang w:val="en-US" w:eastAsia="en-GB"/>
        </w:rPr>
        <w:t>program</w:t>
      </w:r>
      <w:r w:rsidRPr="007D4016">
        <w:rPr>
          <w:rFonts w:ascii="Times New Roman" w:hAnsi="Times New Roman"/>
          <w:sz w:val="24"/>
          <w:szCs w:val="24"/>
          <w:lang w:val="en-US" w:eastAsia="en-GB"/>
        </w:rPr>
        <w:t>. The more that is the case, the more level is the playing field between private and public providers.</w:t>
      </w:r>
      <w:r w:rsidR="00A578BD" w:rsidRPr="007D4016">
        <w:rPr>
          <w:rFonts w:ascii="Times New Roman" w:hAnsi="Times New Roman"/>
          <w:sz w:val="24"/>
          <w:szCs w:val="24"/>
          <w:lang w:val="en-US" w:eastAsia="en-GB"/>
        </w:rPr>
        <w:t xml:space="preserve"> In Slovenia, private providers can apply for </w:t>
      </w:r>
      <w:r w:rsidRPr="007D4016">
        <w:rPr>
          <w:rFonts w:ascii="Times New Roman" w:hAnsi="Times New Roman"/>
          <w:sz w:val="24"/>
          <w:szCs w:val="24"/>
          <w:lang w:val="en-US" w:eastAsia="en-GB"/>
        </w:rPr>
        <w:t xml:space="preserve">a </w:t>
      </w:r>
      <w:r w:rsidR="00A578BD" w:rsidRPr="007D4016">
        <w:rPr>
          <w:rFonts w:ascii="Times New Roman" w:hAnsi="Times New Roman"/>
          <w:sz w:val="24"/>
          <w:szCs w:val="24"/>
          <w:lang w:val="en-US" w:eastAsia="en-GB"/>
        </w:rPr>
        <w:t>“concession” to the state to fund their study programs and are granted such concession if they fulfil</w:t>
      </w:r>
      <w:r w:rsidR="004667C8">
        <w:rPr>
          <w:rFonts w:ascii="Times New Roman" w:hAnsi="Times New Roman"/>
          <w:sz w:val="24"/>
          <w:szCs w:val="24"/>
          <w:lang w:val="en-US" w:eastAsia="en-GB"/>
        </w:rPr>
        <w:t>l</w:t>
      </w:r>
      <w:r w:rsidR="00A578BD" w:rsidRPr="007D4016">
        <w:rPr>
          <w:rFonts w:ascii="Times New Roman" w:hAnsi="Times New Roman"/>
          <w:sz w:val="24"/>
          <w:szCs w:val="24"/>
          <w:lang w:val="en-US" w:eastAsia="en-GB"/>
        </w:rPr>
        <w:t xml:space="preserve"> the same conditions (not more) as public higher education offering such study programs. The legal provisions on concessionary state subsidies level </w:t>
      </w:r>
      <w:r w:rsidRPr="007D4016">
        <w:rPr>
          <w:rFonts w:ascii="Times New Roman" w:hAnsi="Times New Roman"/>
          <w:sz w:val="24"/>
          <w:szCs w:val="24"/>
          <w:lang w:val="en-US" w:eastAsia="en-GB"/>
        </w:rPr>
        <w:t xml:space="preserve">the </w:t>
      </w:r>
      <w:r w:rsidR="00A578BD" w:rsidRPr="007D4016">
        <w:rPr>
          <w:rFonts w:ascii="Times New Roman" w:hAnsi="Times New Roman"/>
          <w:sz w:val="24"/>
          <w:szCs w:val="24"/>
          <w:lang w:val="en-US" w:eastAsia="en-GB"/>
        </w:rPr>
        <w:t>playing field between private and public institutions. This is not widely spread in practice elsewhere</w:t>
      </w:r>
      <w:r w:rsidRPr="007D4016">
        <w:rPr>
          <w:rFonts w:ascii="Times New Roman" w:hAnsi="Times New Roman"/>
          <w:sz w:val="24"/>
          <w:szCs w:val="24"/>
          <w:lang w:val="en-US" w:eastAsia="en-GB"/>
        </w:rPr>
        <w:t>,</w:t>
      </w:r>
      <w:r w:rsidR="00A578BD" w:rsidRPr="007D4016">
        <w:rPr>
          <w:rFonts w:ascii="Times New Roman" w:hAnsi="Times New Roman"/>
          <w:sz w:val="24"/>
          <w:szCs w:val="24"/>
          <w:lang w:val="en-US" w:eastAsia="en-GB"/>
        </w:rPr>
        <w:t xml:space="preserve"> although it is legally possible. </w:t>
      </w:r>
    </w:p>
    <w:p w14:paraId="5E59E21E" w14:textId="396E66D1" w:rsidR="00A578BD" w:rsidRPr="007D4016" w:rsidRDefault="00A578BD" w:rsidP="00A578BD">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The question of leveling the playing field between public in private providers does not concern only private institutions trespassing into the domain of public </w:t>
      </w:r>
      <w:r w:rsidR="00672530" w:rsidRPr="007D4016">
        <w:rPr>
          <w:rFonts w:ascii="Times New Roman" w:hAnsi="Times New Roman"/>
          <w:sz w:val="24"/>
          <w:szCs w:val="24"/>
          <w:lang w:val="en-US" w:eastAsia="en-GB"/>
        </w:rPr>
        <w:t xml:space="preserve">institutions </w:t>
      </w:r>
      <w:r w:rsidRPr="007D4016">
        <w:rPr>
          <w:rFonts w:ascii="Times New Roman" w:hAnsi="Times New Roman"/>
          <w:sz w:val="24"/>
          <w:szCs w:val="24"/>
          <w:lang w:val="en-US" w:eastAsia="en-GB"/>
        </w:rPr>
        <w:t xml:space="preserve">by gaining access to public resources. When the public institutions are prompted to behave more like private </w:t>
      </w:r>
      <w:r w:rsidR="00672530" w:rsidRPr="007D4016">
        <w:rPr>
          <w:rFonts w:ascii="Times New Roman" w:hAnsi="Times New Roman"/>
          <w:sz w:val="24"/>
          <w:szCs w:val="24"/>
          <w:lang w:val="en-US" w:eastAsia="en-GB"/>
        </w:rPr>
        <w:t>institutions by</w:t>
      </w:r>
      <w:r w:rsidRPr="007D4016">
        <w:rPr>
          <w:rFonts w:ascii="Times New Roman" w:hAnsi="Times New Roman"/>
          <w:sz w:val="24"/>
          <w:szCs w:val="24"/>
          <w:lang w:val="en-US" w:eastAsia="en-GB"/>
        </w:rPr>
        <w:t xml:space="preserve"> increasingly market-driven higher education, this is also leveling the playing field between public and private institutions. We have thus explored to which extent </w:t>
      </w:r>
      <w:r w:rsidR="004667C8">
        <w:rPr>
          <w:rFonts w:ascii="Times New Roman" w:hAnsi="Times New Roman"/>
          <w:sz w:val="24"/>
          <w:szCs w:val="24"/>
          <w:lang w:val="en-US" w:eastAsia="en-GB"/>
        </w:rPr>
        <w:t xml:space="preserve">the </w:t>
      </w:r>
      <w:r w:rsidRPr="007D4016">
        <w:rPr>
          <w:rFonts w:ascii="Times New Roman" w:hAnsi="Times New Roman"/>
          <w:sz w:val="24"/>
          <w:szCs w:val="24"/>
          <w:lang w:val="en-US" w:eastAsia="en-GB"/>
        </w:rPr>
        <w:t xml:space="preserve">governments are creating conditions towards </w:t>
      </w:r>
      <w:r w:rsidR="00672530" w:rsidRPr="007D4016">
        <w:rPr>
          <w:rFonts w:ascii="Times New Roman" w:hAnsi="Times New Roman"/>
          <w:sz w:val="24"/>
          <w:szCs w:val="24"/>
          <w:lang w:val="en-US" w:eastAsia="en-GB"/>
        </w:rPr>
        <w:t xml:space="preserve">the </w:t>
      </w:r>
      <w:r w:rsidR="005A45D6" w:rsidRPr="007D4016">
        <w:rPr>
          <w:rFonts w:ascii="Times New Roman" w:hAnsi="Times New Roman"/>
          <w:sz w:val="24"/>
          <w:szCs w:val="24"/>
          <w:lang w:val="en-US" w:eastAsia="en-GB"/>
        </w:rPr>
        <w:t>privatization</w:t>
      </w:r>
      <w:r w:rsidRPr="007D4016">
        <w:rPr>
          <w:rFonts w:ascii="Times New Roman" w:hAnsi="Times New Roman"/>
          <w:sz w:val="24"/>
          <w:szCs w:val="24"/>
          <w:lang w:val="en-US" w:eastAsia="en-GB"/>
        </w:rPr>
        <w:t xml:space="preserve"> of public institutions. Knowledge transfer activities are most developed in Slovenia and Croatia, but government policy frameworks to strengthen university-industry links are underway also in other countries</w:t>
      </w:r>
      <w:r w:rsidR="004667C8">
        <w:rPr>
          <w:rFonts w:ascii="Times New Roman" w:hAnsi="Times New Roman"/>
          <w:sz w:val="24"/>
          <w:szCs w:val="24"/>
          <w:lang w:val="en-US" w:eastAsia="en-GB"/>
        </w:rPr>
        <w:t xml:space="preserve"> in the region</w:t>
      </w:r>
      <w:r w:rsidRPr="007D4016">
        <w:rPr>
          <w:rFonts w:ascii="Times New Roman" w:hAnsi="Times New Roman"/>
          <w:sz w:val="24"/>
          <w:szCs w:val="24"/>
          <w:lang w:val="en-US" w:eastAsia="en-GB"/>
        </w:rPr>
        <w:t xml:space="preserve">. The question remains whether this will consequently mean that the share of private revenues in public institutions’ budgets will increase vis-à-vis the state contribution or not. The lower the share of state funds to balance public institutions’ budgets, the more public institutions will become private-like, the more market-oriented will be their </w:t>
      </w:r>
      <w:r w:rsidR="005A45D6" w:rsidRPr="007D4016">
        <w:rPr>
          <w:rFonts w:ascii="Times New Roman" w:hAnsi="Times New Roman"/>
          <w:sz w:val="24"/>
          <w:szCs w:val="24"/>
          <w:lang w:val="en-US" w:eastAsia="en-GB"/>
        </w:rPr>
        <w:t>behavior</w:t>
      </w:r>
      <w:r w:rsidRPr="007D4016">
        <w:rPr>
          <w:rFonts w:ascii="Times New Roman" w:hAnsi="Times New Roman"/>
          <w:sz w:val="24"/>
          <w:szCs w:val="24"/>
          <w:lang w:val="en-US" w:eastAsia="en-GB"/>
        </w:rPr>
        <w:t xml:space="preserve">, and </w:t>
      </w:r>
      <w:r w:rsidR="00672530" w:rsidRPr="007D4016">
        <w:rPr>
          <w:rFonts w:ascii="Times New Roman" w:hAnsi="Times New Roman"/>
          <w:sz w:val="24"/>
          <w:szCs w:val="24"/>
          <w:lang w:val="en-US" w:eastAsia="en-GB"/>
        </w:rPr>
        <w:t xml:space="preserve">the </w:t>
      </w:r>
      <w:r w:rsidRPr="007D4016">
        <w:rPr>
          <w:rFonts w:ascii="Times New Roman" w:hAnsi="Times New Roman"/>
          <w:sz w:val="24"/>
          <w:szCs w:val="24"/>
          <w:lang w:val="en-US" w:eastAsia="en-GB"/>
        </w:rPr>
        <w:t xml:space="preserve">stronger will be market mechanisms in national higher education systems. None of the examined countries is yet far advanced in this direction, but the wave of reforms of higher education financing in the region is just beginning. The proposed reforms in Albania appear to create </w:t>
      </w:r>
      <w:r w:rsidR="00710010" w:rsidRPr="007D4016">
        <w:rPr>
          <w:rFonts w:ascii="Times New Roman" w:hAnsi="Times New Roman"/>
          <w:sz w:val="24"/>
          <w:szCs w:val="24"/>
          <w:lang w:val="en-US" w:eastAsia="en-GB"/>
        </w:rPr>
        <w:t xml:space="preserve">a more </w:t>
      </w:r>
      <w:r w:rsidRPr="007D4016">
        <w:rPr>
          <w:rFonts w:ascii="Times New Roman" w:hAnsi="Times New Roman"/>
          <w:sz w:val="24"/>
          <w:szCs w:val="24"/>
          <w:lang w:val="en-US" w:eastAsia="en-GB"/>
        </w:rPr>
        <w:t xml:space="preserve">advanced version of market-oriented higher education system: private and public higher education providers will compete on equal terms for all key resources - state funding and students. </w:t>
      </w:r>
    </w:p>
    <w:p w14:paraId="39447B35" w14:textId="3EF26565" w:rsidR="005A45D6" w:rsidRDefault="005A45D6" w:rsidP="00A578BD">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Like elsewhere in Europe, the</w:t>
      </w:r>
      <w:r w:rsidRPr="007D4016">
        <w:rPr>
          <w:rFonts w:ascii="Times New Roman" w:hAnsi="Times New Roman"/>
          <w:sz w:val="24"/>
          <w:szCs w:val="24"/>
          <w:lang w:val="en-US"/>
        </w:rPr>
        <w:t xml:space="preserve"> boundaries and relations between </w:t>
      </w:r>
      <w:r w:rsidR="004667C8">
        <w:rPr>
          <w:rFonts w:ascii="Times New Roman" w:hAnsi="Times New Roman"/>
          <w:sz w:val="24"/>
          <w:szCs w:val="24"/>
          <w:lang w:val="en-US"/>
        </w:rPr>
        <w:t>the public and private</w:t>
      </w:r>
      <w:r w:rsidRPr="007D4016">
        <w:rPr>
          <w:rFonts w:ascii="Times New Roman" w:hAnsi="Times New Roman"/>
          <w:sz w:val="24"/>
          <w:szCs w:val="24"/>
          <w:lang w:val="en-US"/>
        </w:rPr>
        <w:t xml:space="preserve"> sectors are blurred and shifting in th</w:t>
      </w:r>
      <w:r w:rsidR="004667C8">
        <w:rPr>
          <w:rFonts w:ascii="Times New Roman" w:hAnsi="Times New Roman"/>
          <w:sz w:val="24"/>
          <w:szCs w:val="24"/>
          <w:lang w:val="en-US"/>
        </w:rPr>
        <w:t>e Western Balkans</w:t>
      </w:r>
      <w:r w:rsidRPr="007D4016">
        <w:rPr>
          <w:rFonts w:ascii="Times New Roman" w:hAnsi="Times New Roman"/>
          <w:sz w:val="24"/>
          <w:szCs w:val="24"/>
          <w:lang w:val="en-US"/>
        </w:rPr>
        <w:t xml:space="preserve"> (Enders &amp; Jongbloed, 2007).</w:t>
      </w:r>
      <w:r>
        <w:rPr>
          <w:rFonts w:ascii="Times New Roman" w:hAnsi="Times New Roman"/>
          <w:sz w:val="24"/>
          <w:szCs w:val="24"/>
          <w:lang w:val="en-US" w:eastAsia="en-GB"/>
        </w:rPr>
        <w:t xml:space="preserve"> </w:t>
      </w:r>
      <w:r w:rsidR="00A578BD" w:rsidRPr="007D4016">
        <w:rPr>
          <w:rFonts w:ascii="Times New Roman" w:hAnsi="Times New Roman"/>
          <w:sz w:val="24"/>
          <w:szCs w:val="24"/>
          <w:lang w:val="en-US" w:eastAsia="en-GB"/>
        </w:rPr>
        <w:t>The public-private dynamic in higher education in the Western Balkans continues to evolve and is about to gain a new momentum with the wave of reforms of higher education financing.</w:t>
      </w:r>
      <w:r w:rsidR="006957E4" w:rsidRPr="007D4016">
        <w:rPr>
          <w:rFonts w:ascii="Times New Roman" w:hAnsi="Times New Roman"/>
          <w:sz w:val="24"/>
          <w:szCs w:val="24"/>
          <w:lang w:val="en-US" w:eastAsia="en-GB"/>
        </w:rPr>
        <w:t xml:space="preserve"> Albania has already undergone reform process (Albania, 2014). A</w:t>
      </w:r>
      <w:r w:rsidR="00DB22BD" w:rsidRPr="007D4016">
        <w:rPr>
          <w:rFonts w:ascii="Times New Roman" w:hAnsi="Times New Roman"/>
          <w:sz w:val="24"/>
          <w:szCs w:val="24"/>
          <w:lang w:val="en-US" w:eastAsia="en-GB"/>
        </w:rPr>
        <w:t>n</w:t>
      </w:r>
      <w:r w:rsidR="006957E4" w:rsidRPr="007D4016">
        <w:rPr>
          <w:rFonts w:ascii="Times New Roman" w:hAnsi="Times New Roman"/>
          <w:sz w:val="24"/>
          <w:szCs w:val="24"/>
          <w:lang w:val="en-US" w:eastAsia="en-GB"/>
        </w:rPr>
        <w:t xml:space="preserve"> EU funded project “Towards Sustainable &amp; Equitable Financing of Higher Education Reform in Bosnia and Herzegovina, Montenegro and Serbia – FINHED” is expected to contribute the planned reforms in these three countries.</w:t>
      </w:r>
      <w:r w:rsidR="00264100" w:rsidRPr="007D4016">
        <w:rPr>
          <w:rFonts w:ascii="Times New Roman" w:hAnsi="Times New Roman"/>
          <w:sz w:val="24"/>
          <w:szCs w:val="24"/>
          <w:lang w:val="en-US" w:eastAsia="en-GB"/>
        </w:rPr>
        <w:t xml:space="preserve"> In Montenegro, the World Bank is funding a project entitled “Montenegro - Higher Education Research for Innovation and Competitiveness Project</w:t>
      </w:r>
      <w:r w:rsidR="004667C8">
        <w:rPr>
          <w:rFonts w:ascii="Times New Roman" w:hAnsi="Times New Roman"/>
          <w:sz w:val="24"/>
          <w:szCs w:val="24"/>
          <w:lang w:val="en-US" w:eastAsia="en-GB"/>
        </w:rPr>
        <w:t>,</w:t>
      </w:r>
      <w:r w:rsidR="00264100" w:rsidRPr="007D4016">
        <w:rPr>
          <w:rFonts w:ascii="Times New Roman" w:hAnsi="Times New Roman"/>
          <w:sz w:val="24"/>
          <w:szCs w:val="24"/>
          <w:lang w:val="en-US" w:eastAsia="en-GB"/>
        </w:rPr>
        <w:t xml:space="preserve">“ which clearly aims at the development of a new funding model for higher education in </w:t>
      </w:r>
      <w:r w:rsidR="004667C8">
        <w:rPr>
          <w:rFonts w:ascii="Times New Roman" w:hAnsi="Times New Roman"/>
          <w:sz w:val="24"/>
          <w:szCs w:val="24"/>
          <w:lang w:val="en-US" w:eastAsia="en-GB"/>
        </w:rPr>
        <w:t>the country</w:t>
      </w:r>
      <w:r w:rsidR="004667C8" w:rsidRPr="007D4016">
        <w:rPr>
          <w:rFonts w:ascii="Times New Roman" w:hAnsi="Times New Roman"/>
          <w:sz w:val="24"/>
          <w:szCs w:val="24"/>
          <w:lang w:val="en-US" w:eastAsia="en-GB"/>
        </w:rPr>
        <w:t xml:space="preserve"> </w:t>
      </w:r>
      <w:r w:rsidR="00264100" w:rsidRPr="007D4016">
        <w:rPr>
          <w:rFonts w:ascii="Times New Roman" w:hAnsi="Times New Roman"/>
          <w:sz w:val="24"/>
          <w:szCs w:val="24"/>
          <w:lang w:val="en-US" w:eastAsia="en-GB"/>
        </w:rPr>
        <w:t xml:space="preserve">(Bassett, 2014). In Slovenia, the </w:t>
      </w:r>
      <w:r w:rsidR="00C85F37" w:rsidRPr="007D4016">
        <w:rPr>
          <w:rFonts w:ascii="Times New Roman" w:hAnsi="Times New Roman"/>
          <w:sz w:val="24"/>
          <w:szCs w:val="24"/>
          <w:lang w:val="en-US" w:eastAsia="en-GB"/>
        </w:rPr>
        <w:t>Resolution on National Higher Education P</w:t>
      </w:r>
      <w:r w:rsidR="00264100" w:rsidRPr="007D4016">
        <w:rPr>
          <w:rFonts w:ascii="Times New Roman" w:hAnsi="Times New Roman"/>
          <w:sz w:val="24"/>
          <w:szCs w:val="24"/>
          <w:lang w:val="en-US" w:eastAsia="en-GB"/>
        </w:rPr>
        <w:t>rogramme</w:t>
      </w:r>
      <w:r w:rsidR="00C85F37" w:rsidRPr="007D4016">
        <w:rPr>
          <w:rFonts w:ascii="Times New Roman" w:hAnsi="Times New Roman"/>
          <w:sz w:val="24"/>
          <w:szCs w:val="24"/>
          <w:lang w:val="en-US" w:eastAsia="en-GB"/>
        </w:rPr>
        <w:t xml:space="preserve"> 2011-2020 (Slovenia, 2011b) and Resolution on </w:t>
      </w:r>
      <w:r w:rsidR="004667C8">
        <w:rPr>
          <w:rFonts w:ascii="Times New Roman" w:hAnsi="Times New Roman"/>
          <w:sz w:val="24"/>
          <w:szCs w:val="24"/>
          <w:lang w:val="en-US" w:eastAsia="en-GB"/>
        </w:rPr>
        <w:t>R</w:t>
      </w:r>
      <w:r w:rsidR="00C85F37" w:rsidRPr="007D4016">
        <w:rPr>
          <w:rFonts w:ascii="Times New Roman" w:hAnsi="Times New Roman"/>
          <w:sz w:val="24"/>
          <w:szCs w:val="24"/>
          <w:lang w:val="en-US" w:eastAsia="en-GB"/>
        </w:rPr>
        <w:t xml:space="preserve">esearch and </w:t>
      </w:r>
      <w:r w:rsidR="004667C8">
        <w:rPr>
          <w:rFonts w:ascii="Times New Roman" w:hAnsi="Times New Roman"/>
          <w:sz w:val="24"/>
          <w:szCs w:val="24"/>
          <w:lang w:val="en-US" w:eastAsia="en-GB"/>
        </w:rPr>
        <w:t>I</w:t>
      </w:r>
      <w:r w:rsidR="00C85F37" w:rsidRPr="007D4016">
        <w:rPr>
          <w:rFonts w:ascii="Times New Roman" w:hAnsi="Times New Roman"/>
          <w:sz w:val="24"/>
          <w:szCs w:val="24"/>
          <w:lang w:val="en-US" w:eastAsia="en-GB"/>
        </w:rPr>
        <w:t xml:space="preserve">nnovation </w:t>
      </w:r>
      <w:r w:rsidR="004667C8">
        <w:rPr>
          <w:rFonts w:ascii="Times New Roman" w:hAnsi="Times New Roman"/>
          <w:sz w:val="24"/>
          <w:szCs w:val="24"/>
          <w:lang w:val="en-US" w:eastAsia="en-GB"/>
        </w:rPr>
        <w:t>S</w:t>
      </w:r>
      <w:r w:rsidR="00C85F37" w:rsidRPr="007D4016">
        <w:rPr>
          <w:rFonts w:ascii="Times New Roman" w:hAnsi="Times New Roman"/>
          <w:sz w:val="24"/>
          <w:szCs w:val="24"/>
          <w:lang w:val="en-US" w:eastAsia="en-GB"/>
        </w:rPr>
        <w:t>trategy 2011-2020 (Slovenia, 2011c)</w:t>
      </w:r>
      <w:r w:rsidR="00264100" w:rsidRPr="007D4016">
        <w:rPr>
          <w:rFonts w:ascii="Times New Roman" w:hAnsi="Times New Roman"/>
          <w:sz w:val="24"/>
          <w:szCs w:val="24"/>
          <w:lang w:val="en-US" w:eastAsia="en-GB"/>
        </w:rPr>
        <w:t xml:space="preserve">, which include changes in </w:t>
      </w:r>
      <w:r w:rsidR="00C85F37" w:rsidRPr="007D4016">
        <w:rPr>
          <w:rFonts w:ascii="Times New Roman" w:hAnsi="Times New Roman"/>
          <w:sz w:val="24"/>
          <w:szCs w:val="24"/>
          <w:lang w:val="en-US" w:eastAsia="en-GB"/>
        </w:rPr>
        <w:t xml:space="preserve">higher education </w:t>
      </w:r>
      <w:r w:rsidR="00264100" w:rsidRPr="007D4016">
        <w:rPr>
          <w:rFonts w:ascii="Times New Roman" w:hAnsi="Times New Roman"/>
          <w:sz w:val="24"/>
          <w:szCs w:val="24"/>
          <w:lang w:val="en-US" w:eastAsia="en-GB"/>
        </w:rPr>
        <w:t>funding model</w:t>
      </w:r>
      <w:r w:rsidR="004667C8">
        <w:rPr>
          <w:rFonts w:ascii="Times New Roman" w:hAnsi="Times New Roman"/>
          <w:sz w:val="24"/>
          <w:szCs w:val="24"/>
          <w:lang w:val="en-US" w:eastAsia="en-GB"/>
        </w:rPr>
        <w:t>,</w:t>
      </w:r>
      <w:r w:rsidR="00C85F37" w:rsidRPr="007D4016">
        <w:rPr>
          <w:rFonts w:ascii="Times New Roman" w:hAnsi="Times New Roman"/>
          <w:sz w:val="24"/>
          <w:szCs w:val="24"/>
          <w:lang w:val="en-US" w:eastAsia="en-GB"/>
        </w:rPr>
        <w:t xml:space="preserve"> were</w:t>
      </w:r>
      <w:r w:rsidR="00264100" w:rsidRPr="007D4016">
        <w:rPr>
          <w:rFonts w:ascii="Times New Roman" w:hAnsi="Times New Roman"/>
          <w:sz w:val="24"/>
          <w:szCs w:val="24"/>
          <w:lang w:val="en-US" w:eastAsia="en-GB"/>
        </w:rPr>
        <w:t xml:space="preserve"> adopted</w:t>
      </w:r>
      <w:r w:rsidR="00C85F37" w:rsidRPr="007D4016">
        <w:rPr>
          <w:rFonts w:ascii="Times New Roman" w:hAnsi="Times New Roman"/>
          <w:sz w:val="24"/>
          <w:szCs w:val="24"/>
          <w:lang w:val="en-US" w:eastAsia="en-GB"/>
        </w:rPr>
        <w:t xml:space="preserve"> by the Parliament</w:t>
      </w:r>
      <w:r w:rsidR="00264100" w:rsidRPr="007D4016">
        <w:rPr>
          <w:rFonts w:ascii="Times New Roman" w:hAnsi="Times New Roman"/>
          <w:sz w:val="24"/>
          <w:szCs w:val="24"/>
          <w:lang w:val="en-US" w:eastAsia="en-GB"/>
        </w:rPr>
        <w:t xml:space="preserve"> in 2011, </w:t>
      </w:r>
      <w:r w:rsidR="00C85F37" w:rsidRPr="007D4016">
        <w:rPr>
          <w:rFonts w:ascii="Times New Roman" w:hAnsi="Times New Roman"/>
          <w:sz w:val="24"/>
          <w:szCs w:val="24"/>
          <w:lang w:val="en-US" w:eastAsia="en-GB"/>
        </w:rPr>
        <w:t>await</w:t>
      </w:r>
      <w:r w:rsidR="004667C8">
        <w:rPr>
          <w:rFonts w:ascii="Times New Roman" w:hAnsi="Times New Roman"/>
          <w:sz w:val="24"/>
          <w:szCs w:val="24"/>
          <w:lang w:val="en-US" w:eastAsia="en-GB"/>
        </w:rPr>
        <w:t>ing</w:t>
      </w:r>
      <w:r w:rsidR="00264100" w:rsidRPr="007D4016">
        <w:rPr>
          <w:rFonts w:ascii="Times New Roman" w:hAnsi="Times New Roman"/>
          <w:sz w:val="24"/>
          <w:szCs w:val="24"/>
          <w:lang w:val="en-US" w:eastAsia="en-GB"/>
        </w:rPr>
        <w:t xml:space="preserve"> implementation in </w:t>
      </w:r>
      <w:r w:rsidR="00C85F37" w:rsidRPr="007D4016">
        <w:rPr>
          <w:rFonts w:ascii="Times New Roman" w:hAnsi="Times New Roman"/>
          <w:sz w:val="24"/>
          <w:szCs w:val="24"/>
          <w:lang w:val="en-US" w:eastAsia="en-GB"/>
        </w:rPr>
        <w:t>Higher Education Law.</w:t>
      </w:r>
      <w:r w:rsidR="00264100" w:rsidRPr="007D4016">
        <w:rPr>
          <w:rFonts w:ascii="Times New Roman" w:hAnsi="Times New Roman"/>
          <w:sz w:val="24"/>
          <w:szCs w:val="24"/>
          <w:lang w:val="en-US" w:eastAsia="en-GB"/>
        </w:rPr>
        <w:t xml:space="preserve"> </w:t>
      </w:r>
      <w:r w:rsidR="006957E4" w:rsidRPr="007D4016">
        <w:rPr>
          <w:rFonts w:ascii="Times New Roman" w:hAnsi="Times New Roman"/>
          <w:sz w:val="24"/>
          <w:szCs w:val="24"/>
          <w:lang w:val="en-US" w:eastAsia="en-GB"/>
        </w:rPr>
        <w:t xml:space="preserve"> </w:t>
      </w:r>
      <w:r w:rsidR="00710010" w:rsidRPr="007D4016">
        <w:rPr>
          <w:rFonts w:ascii="Times New Roman" w:hAnsi="Times New Roman"/>
          <w:sz w:val="24"/>
          <w:szCs w:val="24"/>
          <w:lang w:val="en-US" w:eastAsia="en-GB"/>
        </w:rPr>
        <w:t>It remains an open question just h</w:t>
      </w:r>
      <w:r w:rsidR="00A578BD" w:rsidRPr="007D4016">
        <w:rPr>
          <w:rFonts w:ascii="Times New Roman" w:hAnsi="Times New Roman"/>
          <w:sz w:val="24"/>
          <w:szCs w:val="24"/>
          <w:lang w:val="en-US" w:eastAsia="en-GB"/>
        </w:rPr>
        <w:t xml:space="preserve">ow far </w:t>
      </w:r>
      <w:r w:rsidR="001957BC">
        <w:rPr>
          <w:rFonts w:ascii="Times New Roman" w:hAnsi="Times New Roman"/>
          <w:sz w:val="24"/>
          <w:szCs w:val="24"/>
          <w:lang w:val="en-US" w:eastAsia="en-GB"/>
        </w:rPr>
        <w:t xml:space="preserve">the </w:t>
      </w:r>
      <w:r w:rsidR="00A578BD" w:rsidRPr="007D4016">
        <w:rPr>
          <w:rFonts w:ascii="Times New Roman" w:hAnsi="Times New Roman"/>
          <w:sz w:val="24"/>
          <w:szCs w:val="24"/>
          <w:lang w:val="en-US" w:eastAsia="en-GB"/>
        </w:rPr>
        <w:t xml:space="preserve">governments </w:t>
      </w:r>
      <w:r w:rsidR="00710010" w:rsidRPr="007D4016">
        <w:rPr>
          <w:rFonts w:ascii="Times New Roman" w:hAnsi="Times New Roman"/>
          <w:sz w:val="24"/>
          <w:szCs w:val="24"/>
          <w:lang w:val="en-US" w:eastAsia="en-GB"/>
        </w:rPr>
        <w:t>will</w:t>
      </w:r>
      <w:r w:rsidR="00A578BD" w:rsidRPr="007D4016">
        <w:rPr>
          <w:rFonts w:ascii="Times New Roman" w:hAnsi="Times New Roman"/>
          <w:sz w:val="24"/>
          <w:szCs w:val="24"/>
          <w:lang w:val="en-US" w:eastAsia="en-GB"/>
        </w:rPr>
        <w:t xml:space="preserve"> desire and be able to create conditions for public and private institutions to play by the same set of rules. </w:t>
      </w:r>
    </w:p>
    <w:p w14:paraId="13375FB9" w14:textId="008C6E2E" w:rsidR="00A578BD" w:rsidRPr="007D4016" w:rsidRDefault="00A578BD" w:rsidP="00A578BD">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One factor that will certainly play a role is </w:t>
      </w:r>
      <w:r w:rsidR="00710010" w:rsidRPr="007D4016">
        <w:rPr>
          <w:rFonts w:ascii="Times New Roman" w:hAnsi="Times New Roman"/>
          <w:sz w:val="24"/>
          <w:szCs w:val="24"/>
          <w:lang w:val="en-US" w:eastAsia="en-GB"/>
        </w:rPr>
        <w:t>the “</w:t>
      </w:r>
      <w:r w:rsidRPr="007D4016">
        <w:rPr>
          <w:rFonts w:ascii="Times New Roman" w:hAnsi="Times New Roman"/>
          <w:sz w:val="24"/>
          <w:szCs w:val="24"/>
          <w:lang w:val="en-US" w:eastAsia="en-GB"/>
        </w:rPr>
        <w:t>legitimacy</w:t>
      </w:r>
      <w:r w:rsidR="00710010" w:rsidRPr="007D4016">
        <w:rPr>
          <w:rFonts w:ascii="Times New Roman" w:hAnsi="Times New Roman"/>
          <w:sz w:val="24"/>
          <w:szCs w:val="24"/>
          <w:lang w:val="en-US" w:eastAsia="en-GB"/>
        </w:rPr>
        <w:t>”</w:t>
      </w:r>
      <w:r w:rsidRPr="007D4016">
        <w:rPr>
          <w:rFonts w:ascii="Times New Roman" w:hAnsi="Times New Roman"/>
          <w:sz w:val="24"/>
          <w:szCs w:val="24"/>
          <w:lang w:val="en-US" w:eastAsia="en-GB"/>
        </w:rPr>
        <w:t xml:space="preserve"> of</w:t>
      </w:r>
      <w:r w:rsidR="001957BC">
        <w:rPr>
          <w:rFonts w:ascii="Times New Roman" w:hAnsi="Times New Roman"/>
          <w:sz w:val="24"/>
          <w:szCs w:val="24"/>
          <w:lang w:val="en-US" w:eastAsia="en-GB"/>
        </w:rPr>
        <w:t xml:space="preserve"> both</w:t>
      </w:r>
      <w:r w:rsidRPr="007D4016">
        <w:rPr>
          <w:rFonts w:ascii="Times New Roman" w:hAnsi="Times New Roman"/>
          <w:sz w:val="24"/>
          <w:szCs w:val="24"/>
          <w:lang w:val="en-US" w:eastAsia="en-GB"/>
        </w:rPr>
        <w:t xml:space="preserve"> public and private institutions. Legitimacy refers here to “the legal and social acceptability of an institution in society” and can be conferred – broadly-speaking – by the state, market</w:t>
      </w:r>
      <w:r w:rsidR="001957BC">
        <w:rPr>
          <w:rFonts w:ascii="Times New Roman" w:hAnsi="Times New Roman"/>
          <w:sz w:val="24"/>
          <w:szCs w:val="24"/>
          <w:lang w:val="en-US" w:eastAsia="en-GB"/>
        </w:rPr>
        <w:t>,</w:t>
      </w:r>
      <w:r w:rsidRPr="007D4016">
        <w:rPr>
          <w:rFonts w:ascii="Times New Roman" w:hAnsi="Times New Roman"/>
          <w:sz w:val="24"/>
          <w:szCs w:val="24"/>
          <w:lang w:val="en-US" w:eastAsia="en-GB"/>
        </w:rPr>
        <w:t xml:space="preserve"> and academia (Slantcheva &amp; Levy, 2007, pp.</w:t>
      </w:r>
      <w:r w:rsidR="001957BC">
        <w:rPr>
          <w:rFonts w:ascii="Times New Roman" w:hAnsi="Times New Roman"/>
          <w:sz w:val="24"/>
          <w:szCs w:val="24"/>
          <w:lang w:val="en-US" w:eastAsia="en-GB"/>
        </w:rPr>
        <w:t xml:space="preserve"> </w:t>
      </w:r>
      <w:r w:rsidRPr="007D4016">
        <w:rPr>
          <w:rFonts w:ascii="Times New Roman" w:hAnsi="Times New Roman"/>
          <w:sz w:val="24"/>
          <w:szCs w:val="24"/>
          <w:lang w:val="en-US" w:eastAsia="en-GB"/>
        </w:rPr>
        <w:t xml:space="preserve">4-5). Both sectors face challenges to their legitimacy albeit on different conditions. </w:t>
      </w:r>
      <w:r w:rsidR="001957BC">
        <w:rPr>
          <w:rFonts w:ascii="Times New Roman" w:hAnsi="Times New Roman"/>
          <w:sz w:val="24"/>
          <w:szCs w:val="24"/>
          <w:lang w:val="en-US" w:eastAsia="en-GB"/>
        </w:rPr>
        <w:t>Higher education institutions in t</w:t>
      </w:r>
      <w:r w:rsidRPr="007D4016">
        <w:rPr>
          <w:rFonts w:ascii="Times New Roman" w:hAnsi="Times New Roman"/>
          <w:sz w:val="24"/>
          <w:szCs w:val="24"/>
          <w:lang w:val="en-US" w:eastAsia="en-GB"/>
        </w:rPr>
        <w:t>he public sector ha</w:t>
      </w:r>
      <w:r w:rsidR="00710010" w:rsidRPr="007D4016">
        <w:rPr>
          <w:rFonts w:ascii="Times New Roman" w:hAnsi="Times New Roman"/>
          <w:sz w:val="24"/>
          <w:szCs w:val="24"/>
          <w:lang w:val="en-US" w:eastAsia="en-GB"/>
        </w:rPr>
        <w:t>ve</w:t>
      </w:r>
      <w:r w:rsidRPr="007D4016">
        <w:rPr>
          <w:rFonts w:ascii="Times New Roman" w:hAnsi="Times New Roman"/>
          <w:sz w:val="24"/>
          <w:szCs w:val="24"/>
          <w:lang w:val="en-US" w:eastAsia="en-GB"/>
        </w:rPr>
        <w:t xml:space="preserve"> struggled to overcome the c</w:t>
      </w:r>
      <w:r w:rsidR="00710010" w:rsidRPr="007D4016">
        <w:rPr>
          <w:rFonts w:ascii="Times New Roman" w:hAnsi="Times New Roman"/>
          <w:sz w:val="24"/>
          <w:szCs w:val="24"/>
          <w:lang w:val="en-US" w:eastAsia="en-GB"/>
        </w:rPr>
        <w:t>harge that they are</w:t>
      </w:r>
      <w:r w:rsidRPr="007D4016">
        <w:rPr>
          <w:rFonts w:ascii="Times New Roman" w:hAnsi="Times New Roman"/>
          <w:sz w:val="24"/>
          <w:szCs w:val="24"/>
          <w:lang w:val="en-US" w:eastAsia="en-GB"/>
        </w:rPr>
        <w:t xml:space="preserve"> inefficie</w:t>
      </w:r>
      <w:r w:rsidR="00710010" w:rsidRPr="007D4016">
        <w:rPr>
          <w:rFonts w:ascii="Times New Roman" w:hAnsi="Times New Roman"/>
          <w:sz w:val="24"/>
          <w:szCs w:val="24"/>
          <w:lang w:val="en-US" w:eastAsia="en-GB"/>
        </w:rPr>
        <w:t>nt</w:t>
      </w:r>
      <w:r w:rsidRPr="007D4016">
        <w:rPr>
          <w:rFonts w:ascii="Times New Roman" w:hAnsi="Times New Roman"/>
          <w:sz w:val="24"/>
          <w:szCs w:val="24"/>
          <w:lang w:val="en-US" w:eastAsia="en-GB"/>
        </w:rPr>
        <w:t xml:space="preserve">, lack scientific excellence, </w:t>
      </w:r>
      <w:r w:rsidR="00710010" w:rsidRPr="007D4016">
        <w:rPr>
          <w:rFonts w:ascii="Times New Roman" w:hAnsi="Times New Roman"/>
          <w:sz w:val="24"/>
          <w:szCs w:val="24"/>
          <w:lang w:val="en-US" w:eastAsia="en-GB"/>
        </w:rPr>
        <w:t>and beset by</w:t>
      </w:r>
      <w:r w:rsidRPr="007D4016">
        <w:rPr>
          <w:rFonts w:ascii="Times New Roman" w:hAnsi="Times New Roman"/>
          <w:sz w:val="24"/>
          <w:szCs w:val="24"/>
          <w:lang w:val="en-US" w:eastAsia="en-GB"/>
        </w:rPr>
        <w:t xml:space="preserve"> inbreeding, corruption and/or detachment from the needs and expectations of the economies and societies (and local communities) within which they are located. They are perceived as having stretched their resources by increasing enrolments </w:t>
      </w:r>
      <w:r w:rsidR="00710010" w:rsidRPr="007D4016">
        <w:rPr>
          <w:rFonts w:ascii="Times New Roman" w:hAnsi="Times New Roman"/>
          <w:sz w:val="24"/>
          <w:szCs w:val="24"/>
          <w:lang w:val="en-US" w:eastAsia="en-GB"/>
        </w:rPr>
        <w:t>to</w:t>
      </w:r>
      <w:r w:rsidRPr="007D4016">
        <w:rPr>
          <w:rFonts w:ascii="Times New Roman" w:hAnsi="Times New Roman"/>
          <w:sz w:val="24"/>
          <w:szCs w:val="24"/>
          <w:lang w:val="en-US" w:eastAsia="en-GB"/>
        </w:rPr>
        <w:t xml:space="preserve"> the detriment of academic quality. And at least in some of the countries they have been chronically under</w:t>
      </w:r>
      <w:r w:rsidR="00710010" w:rsidRPr="007D4016">
        <w:rPr>
          <w:rFonts w:ascii="Times New Roman" w:hAnsi="Times New Roman"/>
          <w:sz w:val="24"/>
          <w:szCs w:val="24"/>
          <w:lang w:val="en-US" w:eastAsia="en-GB"/>
        </w:rPr>
        <w:t>-financed</w:t>
      </w:r>
      <w:r w:rsidRPr="007D4016">
        <w:rPr>
          <w:rFonts w:ascii="Times New Roman" w:hAnsi="Times New Roman"/>
          <w:sz w:val="24"/>
          <w:szCs w:val="24"/>
          <w:lang w:val="en-US" w:eastAsia="en-GB"/>
        </w:rPr>
        <w:t xml:space="preserve">. Of course, the exact challenges to legitimacy of public higher education institutions differ from one country to </w:t>
      </w:r>
      <w:r w:rsidR="00877185" w:rsidRPr="007D4016">
        <w:rPr>
          <w:rFonts w:ascii="Times New Roman" w:hAnsi="Times New Roman"/>
          <w:sz w:val="24"/>
          <w:szCs w:val="24"/>
          <w:lang w:val="en-US" w:eastAsia="en-GB"/>
        </w:rPr>
        <w:t>another</w:t>
      </w:r>
      <w:r w:rsidR="00877185">
        <w:rPr>
          <w:rFonts w:ascii="Times New Roman" w:hAnsi="Times New Roman"/>
          <w:sz w:val="24"/>
          <w:szCs w:val="24"/>
          <w:lang w:val="en-US" w:eastAsia="en-GB"/>
        </w:rPr>
        <w:t>,</w:t>
      </w:r>
      <w:r w:rsidRPr="007D4016">
        <w:rPr>
          <w:rFonts w:ascii="Times New Roman" w:hAnsi="Times New Roman"/>
          <w:sz w:val="24"/>
          <w:szCs w:val="24"/>
          <w:lang w:val="en-US" w:eastAsia="en-GB"/>
        </w:rPr>
        <w:t xml:space="preserve"> and even from one institution to another, but there are some generic concerns in the region. The private institutions </w:t>
      </w:r>
      <w:r w:rsidR="00710010" w:rsidRPr="007D4016">
        <w:rPr>
          <w:rFonts w:ascii="Times New Roman" w:hAnsi="Times New Roman"/>
          <w:sz w:val="24"/>
          <w:szCs w:val="24"/>
          <w:lang w:val="en-US" w:eastAsia="en-GB"/>
        </w:rPr>
        <w:t xml:space="preserve">also </w:t>
      </w:r>
      <w:r w:rsidRPr="007D4016">
        <w:rPr>
          <w:rFonts w:ascii="Times New Roman" w:hAnsi="Times New Roman"/>
          <w:sz w:val="24"/>
          <w:szCs w:val="24"/>
          <w:lang w:val="en-US" w:eastAsia="en-GB"/>
        </w:rPr>
        <w:t xml:space="preserve">grapple with </w:t>
      </w:r>
      <w:r w:rsidR="00710010" w:rsidRPr="007D4016">
        <w:rPr>
          <w:rFonts w:ascii="Times New Roman" w:hAnsi="Times New Roman"/>
          <w:sz w:val="24"/>
          <w:szCs w:val="24"/>
          <w:lang w:val="en-US" w:eastAsia="en-GB"/>
        </w:rPr>
        <w:t xml:space="preserve">widespread </w:t>
      </w:r>
      <w:r w:rsidRPr="007D4016">
        <w:rPr>
          <w:rFonts w:ascii="Times New Roman" w:hAnsi="Times New Roman"/>
          <w:sz w:val="24"/>
          <w:szCs w:val="24"/>
          <w:lang w:val="en-US" w:eastAsia="en-GB"/>
        </w:rPr>
        <w:t>mistrust over poor academic quality, poor conditions for study</w:t>
      </w:r>
      <w:r w:rsidR="001957BC">
        <w:rPr>
          <w:rFonts w:ascii="Times New Roman" w:hAnsi="Times New Roman"/>
          <w:sz w:val="24"/>
          <w:szCs w:val="24"/>
          <w:lang w:val="en-US" w:eastAsia="en-GB"/>
        </w:rPr>
        <w:t>,</w:t>
      </w:r>
      <w:r w:rsidRPr="007D4016">
        <w:rPr>
          <w:rFonts w:ascii="Times New Roman" w:hAnsi="Times New Roman"/>
          <w:sz w:val="24"/>
          <w:szCs w:val="24"/>
          <w:lang w:val="en-US" w:eastAsia="en-GB"/>
        </w:rPr>
        <w:t xml:space="preserve"> and serving as “degree mills” producing academic credentials without upholding rigorous academic standards (Jahic, 2014). The public also tends to be suspicious of combining the for-profit interests of the owner with academic pursuits. </w:t>
      </w:r>
    </w:p>
    <w:p w14:paraId="4E5FE9EA" w14:textId="5CAC2C03" w:rsidR="00A578BD" w:rsidRPr="007D4016" w:rsidRDefault="00A578BD" w:rsidP="00A578BD">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Theoretical </w:t>
      </w:r>
      <w:r w:rsidR="00710010" w:rsidRPr="007D4016">
        <w:rPr>
          <w:rFonts w:ascii="Times New Roman" w:hAnsi="Times New Roman"/>
          <w:sz w:val="24"/>
          <w:szCs w:val="24"/>
          <w:lang w:val="en-US" w:eastAsia="en-GB"/>
        </w:rPr>
        <w:t>understandings of the</w:t>
      </w:r>
      <w:r w:rsidRPr="007D4016">
        <w:rPr>
          <w:rFonts w:ascii="Times New Roman" w:hAnsi="Times New Roman"/>
          <w:sz w:val="24"/>
          <w:szCs w:val="24"/>
          <w:lang w:val="en-US" w:eastAsia="en-GB"/>
        </w:rPr>
        <w:t xml:space="preserve"> public-private dynamic have to take into consideration that the stage of development of a higher education system greatly determines government</w:t>
      </w:r>
      <w:r w:rsidR="001957BC">
        <w:rPr>
          <w:rFonts w:ascii="Times New Roman" w:hAnsi="Times New Roman"/>
          <w:sz w:val="24"/>
          <w:szCs w:val="24"/>
          <w:lang w:val="en-US" w:eastAsia="en-GB"/>
        </w:rPr>
        <w:t>’</w:t>
      </w:r>
      <w:r w:rsidRPr="007D4016">
        <w:rPr>
          <w:rFonts w:ascii="Times New Roman" w:hAnsi="Times New Roman"/>
          <w:sz w:val="24"/>
          <w:szCs w:val="24"/>
          <w:lang w:val="en-US" w:eastAsia="en-GB"/>
        </w:rPr>
        <w:t xml:space="preserve">s public policy choices in this area. In less mature higher education systems, such as in </w:t>
      </w:r>
      <w:r w:rsidR="00710010" w:rsidRPr="007D4016">
        <w:rPr>
          <w:rFonts w:ascii="Times New Roman" w:hAnsi="Times New Roman"/>
          <w:sz w:val="24"/>
          <w:szCs w:val="24"/>
          <w:lang w:val="en-US" w:eastAsia="en-GB"/>
        </w:rPr>
        <w:t xml:space="preserve">the </w:t>
      </w:r>
      <w:r w:rsidRPr="007D4016">
        <w:rPr>
          <w:rFonts w:ascii="Times New Roman" w:hAnsi="Times New Roman"/>
          <w:sz w:val="24"/>
          <w:szCs w:val="24"/>
          <w:lang w:val="en-US" w:eastAsia="en-GB"/>
        </w:rPr>
        <w:t>post-</w:t>
      </w:r>
      <w:r w:rsidR="001957BC">
        <w:rPr>
          <w:rFonts w:ascii="Times New Roman" w:hAnsi="Times New Roman"/>
          <w:sz w:val="24"/>
          <w:szCs w:val="24"/>
          <w:lang w:val="en-US" w:eastAsia="en-GB"/>
        </w:rPr>
        <w:t>socialist</w:t>
      </w:r>
      <w:r w:rsidRPr="007D4016">
        <w:rPr>
          <w:rFonts w:ascii="Times New Roman" w:hAnsi="Times New Roman"/>
          <w:sz w:val="24"/>
          <w:szCs w:val="24"/>
          <w:lang w:val="en-US" w:eastAsia="en-GB"/>
        </w:rPr>
        <w:t xml:space="preserve"> countries of the Western Balkans, governments have often behaved reactively in their choices: they have</w:t>
      </w:r>
      <w:r w:rsidR="001957BC">
        <w:rPr>
          <w:rFonts w:ascii="Times New Roman" w:hAnsi="Times New Roman"/>
          <w:sz w:val="24"/>
          <w:szCs w:val="24"/>
          <w:lang w:val="en-US" w:eastAsia="en-GB"/>
        </w:rPr>
        <w:t xml:space="preserve"> encouraged the development of the </w:t>
      </w:r>
      <w:r w:rsidRPr="007D4016">
        <w:rPr>
          <w:rFonts w:ascii="Times New Roman" w:hAnsi="Times New Roman"/>
          <w:sz w:val="24"/>
          <w:szCs w:val="24"/>
          <w:lang w:val="en-US" w:eastAsia="en-GB"/>
        </w:rPr>
        <w:t xml:space="preserve">private higher education sector after private institutions </w:t>
      </w:r>
      <w:r w:rsidR="00710010" w:rsidRPr="007D4016">
        <w:rPr>
          <w:rFonts w:ascii="Times New Roman" w:hAnsi="Times New Roman"/>
          <w:sz w:val="24"/>
          <w:szCs w:val="24"/>
          <w:lang w:val="en-US" w:eastAsia="en-GB"/>
        </w:rPr>
        <w:t xml:space="preserve">had already </w:t>
      </w:r>
      <w:r w:rsidRPr="007D4016">
        <w:rPr>
          <w:rFonts w:ascii="Times New Roman" w:hAnsi="Times New Roman"/>
          <w:sz w:val="24"/>
          <w:szCs w:val="24"/>
          <w:lang w:val="en-US" w:eastAsia="en-GB"/>
        </w:rPr>
        <w:t>beg</w:t>
      </w:r>
      <w:r w:rsidR="00710010" w:rsidRPr="007D4016">
        <w:rPr>
          <w:rFonts w:ascii="Times New Roman" w:hAnsi="Times New Roman"/>
          <w:sz w:val="24"/>
          <w:szCs w:val="24"/>
          <w:lang w:val="en-US" w:eastAsia="en-GB"/>
        </w:rPr>
        <w:t>u</w:t>
      </w:r>
      <w:r w:rsidRPr="007D4016">
        <w:rPr>
          <w:rFonts w:ascii="Times New Roman" w:hAnsi="Times New Roman"/>
          <w:sz w:val="24"/>
          <w:szCs w:val="24"/>
          <w:lang w:val="en-US" w:eastAsia="en-GB"/>
        </w:rPr>
        <w:t xml:space="preserve">n to emerge. The vested interests of individual politicians and their supporters and their role in creating </w:t>
      </w:r>
      <w:r w:rsidR="00877185" w:rsidRPr="007D4016">
        <w:rPr>
          <w:rFonts w:ascii="Times New Roman" w:hAnsi="Times New Roman"/>
          <w:sz w:val="24"/>
          <w:szCs w:val="24"/>
          <w:lang w:val="en-US" w:eastAsia="en-GB"/>
        </w:rPr>
        <w:t>favorable</w:t>
      </w:r>
      <w:r w:rsidRPr="007D4016">
        <w:rPr>
          <w:rFonts w:ascii="Times New Roman" w:hAnsi="Times New Roman"/>
          <w:sz w:val="24"/>
          <w:szCs w:val="24"/>
          <w:lang w:val="en-US" w:eastAsia="en-GB"/>
        </w:rPr>
        <w:t xml:space="preserve"> conditions for private institutions should also not be ignored. Indeed, </w:t>
      </w:r>
      <w:r w:rsidR="001957BC">
        <w:rPr>
          <w:rFonts w:ascii="Times New Roman" w:hAnsi="Times New Roman"/>
          <w:sz w:val="24"/>
          <w:szCs w:val="24"/>
          <w:lang w:val="en-US" w:eastAsia="en-GB"/>
        </w:rPr>
        <w:t xml:space="preserve">as Geiger (1986) suggests, </w:t>
      </w:r>
      <w:r w:rsidRPr="007D4016">
        <w:rPr>
          <w:rFonts w:ascii="Times New Roman" w:hAnsi="Times New Roman"/>
          <w:sz w:val="24"/>
          <w:szCs w:val="24"/>
          <w:lang w:val="en-US" w:eastAsia="en-GB"/>
        </w:rPr>
        <w:t xml:space="preserve">the pervasiveness of corruption in higher education – both concerning public sector and private institutions – needs to be added to the existing concepts explaining </w:t>
      </w:r>
      <w:r w:rsidR="00710010" w:rsidRPr="007D4016">
        <w:rPr>
          <w:rFonts w:ascii="Times New Roman" w:hAnsi="Times New Roman"/>
          <w:sz w:val="24"/>
          <w:szCs w:val="24"/>
          <w:lang w:val="en-US" w:eastAsia="en-GB"/>
        </w:rPr>
        <w:t xml:space="preserve">the </w:t>
      </w:r>
      <w:r w:rsidRPr="007D4016">
        <w:rPr>
          <w:rFonts w:ascii="Times New Roman" w:hAnsi="Times New Roman"/>
          <w:sz w:val="24"/>
          <w:szCs w:val="24"/>
          <w:lang w:val="en-US" w:eastAsia="en-GB"/>
        </w:rPr>
        <w:t xml:space="preserve">emergence of private higher education as responding to the aims for “more”, “better” and “different” educational provisions. </w:t>
      </w:r>
    </w:p>
    <w:p w14:paraId="509D8834" w14:textId="77777777" w:rsidR="001648D7" w:rsidRPr="007D4016" w:rsidRDefault="001648D7" w:rsidP="001648D7">
      <w:pPr>
        <w:spacing w:after="100" w:afterAutospacing="1" w:line="240" w:lineRule="auto"/>
        <w:jc w:val="both"/>
        <w:rPr>
          <w:rFonts w:ascii="Times New Roman" w:hAnsi="Times New Roman"/>
          <w:b/>
          <w:sz w:val="24"/>
          <w:szCs w:val="24"/>
          <w:shd w:val="clear" w:color="auto" w:fill="FFFFFF"/>
          <w:lang w:val="en-US"/>
        </w:rPr>
      </w:pPr>
      <w:r w:rsidRPr="007D4016">
        <w:rPr>
          <w:rFonts w:ascii="Times New Roman" w:hAnsi="Times New Roman"/>
          <w:b/>
          <w:sz w:val="24"/>
          <w:szCs w:val="24"/>
          <w:shd w:val="clear" w:color="auto" w:fill="FFFFFF"/>
          <w:lang w:val="en-US"/>
        </w:rPr>
        <w:t>Acknowledgements</w:t>
      </w:r>
    </w:p>
    <w:p w14:paraId="467F16B2" w14:textId="3A41C471" w:rsidR="001648D7" w:rsidRPr="007D4016" w:rsidRDefault="001648D7" w:rsidP="001648D7">
      <w:pPr>
        <w:spacing w:after="100" w:afterAutospacing="1" w:line="240" w:lineRule="auto"/>
        <w:jc w:val="both"/>
        <w:rPr>
          <w:rFonts w:ascii="Times New Roman" w:hAnsi="Times New Roman"/>
          <w:sz w:val="24"/>
          <w:szCs w:val="24"/>
          <w:shd w:val="clear" w:color="auto" w:fill="FFFFFF"/>
          <w:lang w:val="en-US"/>
        </w:rPr>
      </w:pPr>
      <w:r w:rsidRPr="007D4016">
        <w:rPr>
          <w:rFonts w:ascii="Times New Roman" w:hAnsi="Times New Roman"/>
          <w:sz w:val="24"/>
          <w:szCs w:val="24"/>
          <w:shd w:val="clear" w:color="auto" w:fill="FFFFFF"/>
          <w:lang w:val="en-US"/>
        </w:rPr>
        <w:t xml:space="preserve">This article has been prepared with data obtained from the project </w:t>
      </w:r>
      <w:r w:rsidR="00B56A12" w:rsidRPr="007D4016">
        <w:rPr>
          <w:rFonts w:ascii="Times New Roman" w:hAnsi="Times New Roman"/>
          <w:i/>
          <w:sz w:val="24"/>
          <w:szCs w:val="24"/>
          <w:shd w:val="clear" w:color="auto" w:fill="FFFFFF"/>
          <w:lang w:val="en-US"/>
        </w:rPr>
        <w:t>Di</w:t>
      </w:r>
      <w:r w:rsidR="00B56A12" w:rsidRPr="007D4016">
        <w:rPr>
          <w:rFonts w:ascii="Times New Roman" w:hAnsi="Times New Roman"/>
          <w:i/>
          <w:sz w:val="24"/>
          <w:szCs w:val="24"/>
          <w:lang w:val="en-US"/>
        </w:rPr>
        <w:t>fferentiation</w:t>
      </w:r>
      <w:r w:rsidRPr="007D4016">
        <w:rPr>
          <w:rFonts w:ascii="Times New Roman" w:hAnsi="Times New Roman"/>
          <w:i/>
          <w:sz w:val="24"/>
          <w:szCs w:val="24"/>
          <w:lang w:val="en-US"/>
        </w:rPr>
        <w:t xml:space="preserve">, Equity, Productivity: the social and economic consequences of expanded and differentiated higher education systems – internationalisation aspects (DEP-08-EuroHESC-OP-016) </w:t>
      </w:r>
      <w:r w:rsidRPr="001648D7">
        <w:rPr>
          <w:rFonts w:ascii="Times New Roman" w:hAnsi="Times New Roman"/>
          <w:sz w:val="24"/>
          <w:szCs w:val="24"/>
          <w:lang w:val="en-US"/>
        </w:rPr>
        <w:t xml:space="preserve">funded by the Slovenian Research Agency (ARRS) and endorsed by the European Science Foundation (ESF). </w:t>
      </w:r>
      <w:r w:rsidRPr="007D4016">
        <w:rPr>
          <w:rFonts w:ascii="Times New Roman" w:hAnsi="Times New Roman"/>
          <w:sz w:val="24"/>
          <w:szCs w:val="24"/>
          <w:lang w:val="en-US"/>
        </w:rPr>
        <w:t>We thank the three anonymous reviewers for their thoughtful feedback.</w:t>
      </w:r>
      <w:r w:rsidRPr="007D4016">
        <w:rPr>
          <w:rFonts w:ascii="Times New Roman" w:hAnsi="Times New Roman"/>
          <w:i/>
          <w:sz w:val="24"/>
          <w:szCs w:val="24"/>
          <w:lang w:val="en-US"/>
        </w:rPr>
        <w:t xml:space="preserve"> </w:t>
      </w:r>
    </w:p>
    <w:p w14:paraId="71613E38" w14:textId="77777777" w:rsidR="000579B8" w:rsidRDefault="000579B8" w:rsidP="000579B8">
      <w:pPr>
        <w:pStyle w:val="Heading1"/>
        <w:spacing w:before="0" w:after="100" w:afterAutospacing="1" w:line="240" w:lineRule="auto"/>
        <w:jc w:val="both"/>
        <w:rPr>
          <w:rFonts w:ascii="Times New Roman" w:hAnsi="Times New Roman"/>
          <w:color w:val="auto"/>
          <w:sz w:val="24"/>
          <w:szCs w:val="24"/>
          <w:lang w:val="en-US" w:eastAsia="en-GB"/>
        </w:rPr>
      </w:pPr>
      <w:r>
        <w:rPr>
          <w:rFonts w:ascii="Times New Roman" w:hAnsi="Times New Roman"/>
          <w:color w:val="auto"/>
          <w:sz w:val="24"/>
          <w:szCs w:val="24"/>
          <w:lang w:val="en-US" w:eastAsia="en-GB"/>
        </w:rPr>
        <w:t>Notes</w:t>
      </w:r>
    </w:p>
    <w:p w14:paraId="3A9CD485" w14:textId="77777777" w:rsidR="000579B8" w:rsidRPr="003C5928" w:rsidRDefault="000579B8" w:rsidP="003C5928">
      <w:pPr>
        <w:pStyle w:val="FootnoteText"/>
        <w:rPr>
          <w:rFonts w:ascii="Times New Roman" w:hAnsi="Times New Roman"/>
          <w:sz w:val="22"/>
          <w:szCs w:val="22"/>
          <w:lang w:val="en-US"/>
        </w:rPr>
      </w:pPr>
      <w:r w:rsidRPr="003C5928">
        <w:rPr>
          <w:rStyle w:val="hps"/>
          <w:rFonts w:ascii="Times New Roman" w:hAnsi="Times New Roman"/>
          <w:sz w:val="22"/>
          <w:szCs w:val="22"/>
        </w:rPr>
        <w:t>1   Slovenia strictly speaking</w:t>
      </w:r>
      <w:r w:rsidRPr="003C5928">
        <w:rPr>
          <w:rFonts w:ascii="Times New Roman" w:hAnsi="Times New Roman"/>
          <w:sz w:val="22"/>
          <w:szCs w:val="22"/>
        </w:rPr>
        <w:t xml:space="preserve"> </w:t>
      </w:r>
      <w:r w:rsidRPr="003C5928">
        <w:rPr>
          <w:rStyle w:val="hps"/>
          <w:rFonts w:ascii="Times New Roman" w:hAnsi="Times New Roman"/>
          <w:sz w:val="22"/>
          <w:szCs w:val="22"/>
        </w:rPr>
        <w:t>does not belong to</w:t>
      </w:r>
      <w:r w:rsidRPr="003C5928">
        <w:rPr>
          <w:rFonts w:ascii="Times New Roman" w:hAnsi="Times New Roman"/>
          <w:sz w:val="22"/>
          <w:szCs w:val="22"/>
        </w:rPr>
        <w:t xml:space="preserve"> </w:t>
      </w:r>
      <w:r w:rsidRPr="003C5928">
        <w:rPr>
          <w:rStyle w:val="hps"/>
          <w:rFonts w:ascii="Times New Roman" w:hAnsi="Times New Roman"/>
          <w:sz w:val="22"/>
          <w:szCs w:val="22"/>
        </w:rPr>
        <w:t>the Western Balkans region</w:t>
      </w:r>
      <w:r w:rsidRPr="003C5928">
        <w:rPr>
          <w:rFonts w:ascii="Times New Roman" w:hAnsi="Times New Roman"/>
          <w:sz w:val="22"/>
          <w:szCs w:val="22"/>
        </w:rPr>
        <w:t xml:space="preserve">, </w:t>
      </w:r>
      <w:r w:rsidRPr="003C5928">
        <w:rPr>
          <w:rStyle w:val="hps"/>
          <w:rFonts w:ascii="Times New Roman" w:hAnsi="Times New Roman"/>
          <w:sz w:val="22"/>
          <w:szCs w:val="22"/>
        </w:rPr>
        <w:t>but it was</w:t>
      </w:r>
      <w:r w:rsidRPr="003C5928">
        <w:rPr>
          <w:rFonts w:ascii="Times New Roman" w:hAnsi="Times New Roman"/>
          <w:sz w:val="22"/>
          <w:szCs w:val="22"/>
        </w:rPr>
        <w:t xml:space="preserve"> </w:t>
      </w:r>
      <w:r w:rsidRPr="003C5928">
        <w:rPr>
          <w:rStyle w:val="hps"/>
          <w:rFonts w:ascii="Times New Roman" w:hAnsi="Times New Roman"/>
          <w:sz w:val="22"/>
          <w:szCs w:val="22"/>
        </w:rPr>
        <w:t>part of the</w:t>
      </w:r>
      <w:r w:rsidRPr="003C5928">
        <w:rPr>
          <w:rFonts w:ascii="Times New Roman" w:hAnsi="Times New Roman"/>
          <w:sz w:val="22"/>
          <w:szCs w:val="22"/>
        </w:rPr>
        <w:t xml:space="preserve"> </w:t>
      </w:r>
      <w:r w:rsidRPr="003C5928">
        <w:rPr>
          <w:rStyle w:val="hps"/>
          <w:rFonts w:ascii="Times New Roman" w:hAnsi="Times New Roman"/>
          <w:sz w:val="22"/>
          <w:szCs w:val="22"/>
        </w:rPr>
        <w:t>Socialist Federal Republic of Yugoslavia (SFRY) until 1991</w:t>
      </w:r>
      <w:r w:rsidRPr="003C5928">
        <w:rPr>
          <w:rFonts w:ascii="Times New Roman" w:hAnsi="Times New Roman"/>
          <w:sz w:val="22"/>
          <w:szCs w:val="22"/>
        </w:rPr>
        <w:t xml:space="preserve">, together </w:t>
      </w:r>
      <w:r w:rsidRPr="003C5928">
        <w:rPr>
          <w:rStyle w:val="hps"/>
          <w:rFonts w:ascii="Times New Roman" w:hAnsi="Times New Roman"/>
          <w:sz w:val="22"/>
          <w:szCs w:val="22"/>
        </w:rPr>
        <w:t>with all examined</w:t>
      </w:r>
      <w:r w:rsidRPr="003C5928">
        <w:rPr>
          <w:rFonts w:ascii="Times New Roman" w:hAnsi="Times New Roman"/>
          <w:sz w:val="22"/>
          <w:szCs w:val="22"/>
        </w:rPr>
        <w:t xml:space="preserve"> </w:t>
      </w:r>
      <w:r w:rsidRPr="003C5928">
        <w:rPr>
          <w:rStyle w:val="hps"/>
          <w:rFonts w:ascii="Times New Roman" w:hAnsi="Times New Roman"/>
          <w:sz w:val="22"/>
          <w:szCs w:val="22"/>
        </w:rPr>
        <w:t>countries, but Albania.</w:t>
      </w:r>
    </w:p>
    <w:p w14:paraId="2D91B4A1" w14:textId="77777777" w:rsidR="000579B8" w:rsidRPr="003C5928" w:rsidRDefault="000579B8" w:rsidP="003C5928">
      <w:pPr>
        <w:spacing w:line="240" w:lineRule="auto"/>
        <w:rPr>
          <w:rFonts w:ascii="Times New Roman" w:hAnsi="Times New Roman"/>
        </w:rPr>
      </w:pPr>
    </w:p>
    <w:p w14:paraId="49CB54D0" w14:textId="4C0F2FEA" w:rsidR="000D2C40" w:rsidRPr="003C5928" w:rsidRDefault="00B56A12" w:rsidP="003C5928">
      <w:pPr>
        <w:spacing w:line="240" w:lineRule="auto"/>
        <w:rPr>
          <w:rFonts w:ascii="Times New Roman" w:hAnsi="Times New Roman"/>
        </w:rPr>
      </w:pPr>
      <w:r w:rsidRPr="003C5928">
        <w:rPr>
          <w:rFonts w:ascii="Times New Roman" w:hAnsi="Times New Roman"/>
        </w:rPr>
        <w:t xml:space="preserve">2 </w:t>
      </w:r>
      <w:r w:rsidR="000D2C40" w:rsidRPr="003C5928">
        <w:rPr>
          <w:rFonts w:ascii="Times New Roman" w:hAnsi="Times New Roman"/>
        </w:rPr>
        <w:t>A systematic inductive delineation of both sectors according to the above-mentioned criteria is a complex task which extends beyond the scope of this article and is an interesting research topic on its own.</w:t>
      </w:r>
    </w:p>
    <w:p w14:paraId="18817E9D" w14:textId="77777777" w:rsidR="000579B8" w:rsidRPr="003C5928" w:rsidRDefault="006C03AC" w:rsidP="003C5928">
      <w:pPr>
        <w:pStyle w:val="Heading1"/>
        <w:spacing w:before="0" w:after="100" w:afterAutospacing="1" w:line="240" w:lineRule="auto"/>
        <w:jc w:val="both"/>
        <w:rPr>
          <w:rFonts w:ascii="Times New Roman" w:hAnsi="Times New Roman"/>
          <w:b w:val="0"/>
          <w:color w:val="auto"/>
          <w:sz w:val="22"/>
          <w:szCs w:val="22"/>
        </w:rPr>
      </w:pPr>
      <w:r w:rsidRPr="003C5928">
        <w:rPr>
          <w:rFonts w:ascii="Times New Roman" w:hAnsi="Times New Roman"/>
          <w:b w:val="0"/>
          <w:color w:val="auto"/>
          <w:sz w:val="22"/>
          <w:szCs w:val="22"/>
          <w:lang w:val="en-US" w:eastAsia="en-GB"/>
        </w:rPr>
        <w:t xml:space="preserve">3 </w:t>
      </w:r>
      <w:r w:rsidRPr="003C5928">
        <w:rPr>
          <w:rFonts w:ascii="Times New Roman" w:hAnsi="Times New Roman"/>
          <w:b w:val="0"/>
          <w:color w:val="auto"/>
          <w:sz w:val="22"/>
          <w:szCs w:val="22"/>
        </w:rPr>
        <w:t xml:space="preserve">Available at: </w:t>
      </w:r>
      <w:hyperlink r:id="rId11" w:history="1">
        <w:r w:rsidRPr="003C5928">
          <w:rPr>
            <w:rStyle w:val="Hyperlink"/>
            <w:rFonts w:ascii="Times New Roman" w:hAnsi="Times New Roman"/>
            <w:b w:val="0"/>
            <w:sz w:val="22"/>
            <w:szCs w:val="22"/>
          </w:rPr>
          <w:t>http://www.herdata.org/</w:t>
        </w:r>
      </w:hyperlink>
      <w:r w:rsidRPr="003C5928">
        <w:rPr>
          <w:rFonts w:ascii="Times New Roman" w:hAnsi="Times New Roman"/>
          <w:b w:val="0"/>
          <w:sz w:val="22"/>
          <w:szCs w:val="22"/>
        </w:rPr>
        <w:t xml:space="preserve"> </w:t>
      </w:r>
      <w:r w:rsidRPr="003C5928">
        <w:rPr>
          <w:rFonts w:ascii="Times New Roman" w:hAnsi="Times New Roman"/>
          <w:b w:val="0"/>
          <w:color w:val="auto"/>
          <w:sz w:val="22"/>
          <w:szCs w:val="22"/>
        </w:rPr>
        <w:t>. All links were last accessed 20 July 2014.</w:t>
      </w:r>
    </w:p>
    <w:p w14:paraId="3AE318B7" w14:textId="77777777" w:rsidR="007C4AB2" w:rsidRPr="003C5928" w:rsidRDefault="00974973" w:rsidP="003C5928">
      <w:pPr>
        <w:spacing w:line="240" w:lineRule="auto"/>
        <w:rPr>
          <w:rStyle w:val="Hyperlink"/>
          <w:rFonts w:ascii="Times New Roman" w:hAnsi="Times New Roman"/>
        </w:rPr>
      </w:pPr>
      <w:r w:rsidRPr="003C5928">
        <w:rPr>
          <w:rFonts w:ascii="Times New Roman" w:hAnsi="Times New Roman"/>
        </w:rPr>
        <w:t xml:space="preserve">4 Cited in article by Mekina, B. “Študenti po tekočem traku. Katere zasebne fakultete imamo, kdo so njihovi lastniki in koliko državnih subvencij dobivajo.” [Students as on production line.  Which private institutions we have, who are their owners and how much of public subsidies they get.] Mladina 24, 15 June 2012. Available at:  </w:t>
      </w:r>
      <w:hyperlink r:id="rId12" w:history="1">
        <w:r w:rsidRPr="003C5928">
          <w:rPr>
            <w:rStyle w:val="Hyperlink"/>
            <w:rFonts w:ascii="Times New Roman" w:hAnsi="Times New Roman"/>
          </w:rPr>
          <w:t>http://www.mladina.si/113163/studenti-po-tekocem-traku/</w:t>
        </w:r>
      </w:hyperlink>
    </w:p>
    <w:p w14:paraId="3537E97E" w14:textId="77777777" w:rsidR="007C4AB2" w:rsidRPr="003C5928" w:rsidRDefault="007C4AB2" w:rsidP="003C5928">
      <w:pPr>
        <w:spacing w:line="240" w:lineRule="auto"/>
        <w:rPr>
          <w:rStyle w:val="Hyperlink"/>
          <w:rFonts w:ascii="Times New Roman" w:hAnsi="Times New Roman"/>
          <w:color w:val="auto"/>
          <w:u w:val="none"/>
        </w:rPr>
      </w:pPr>
      <w:r w:rsidRPr="003C5928">
        <w:rPr>
          <w:rStyle w:val="Hyperlink"/>
          <w:rFonts w:ascii="Times New Roman" w:hAnsi="Times New Roman"/>
          <w:color w:val="auto"/>
          <w:u w:val="none"/>
        </w:rPr>
        <w:t>5 Ibid.</w:t>
      </w:r>
    </w:p>
    <w:p w14:paraId="3D05456A" w14:textId="77777777" w:rsidR="005B51DC" w:rsidRPr="003C5928" w:rsidRDefault="005B51DC" w:rsidP="003C5928">
      <w:pPr>
        <w:spacing w:line="240" w:lineRule="auto"/>
        <w:rPr>
          <w:rFonts w:ascii="Times New Roman" w:hAnsi="Times New Roman"/>
          <w:lang w:eastAsia="en-GB"/>
        </w:rPr>
      </w:pPr>
      <w:r w:rsidRPr="003C5928">
        <w:rPr>
          <w:rFonts w:ascii="Times New Roman" w:hAnsi="Times New Roman"/>
          <w:lang w:eastAsia="en-GB"/>
        </w:rPr>
        <w:t>6 Some of the Canton Laws of the Federation of Bosnia and Herzegovina, such as the Law of Canton Sarajevo (Canton Sarajevo, 2008, Article 146), also provides for financing of study programmes in public interests conducted at private institutions.</w:t>
      </w:r>
    </w:p>
    <w:p w14:paraId="0E44C7A8" w14:textId="77777777" w:rsidR="00F168ED" w:rsidRPr="003C5928" w:rsidRDefault="00F168ED" w:rsidP="003C5928">
      <w:pPr>
        <w:pStyle w:val="FootnoteText"/>
        <w:rPr>
          <w:rFonts w:ascii="Times New Roman" w:hAnsi="Times New Roman"/>
          <w:sz w:val="22"/>
          <w:szCs w:val="22"/>
        </w:rPr>
      </w:pPr>
      <w:r w:rsidRPr="003C5928">
        <w:rPr>
          <w:rFonts w:ascii="Times New Roman" w:hAnsi="Times New Roman"/>
          <w:sz w:val="22"/>
          <w:szCs w:val="22"/>
          <w:lang w:eastAsia="en-GB"/>
        </w:rPr>
        <w:t xml:space="preserve">7 </w:t>
      </w:r>
      <w:r w:rsidRPr="003C5928">
        <w:rPr>
          <w:rFonts w:ascii="Times New Roman" w:hAnsi="Times New Roman"/>
          <w:sz w:val="22"/>
          <w:szCs w:val="22"/>
        </w:rPr>
        <w:t xml:space="preserve">Cited in article by Erebara, G. “Reform of Albanian University Funding Denounced”. </w:t>
      </w:r>
      <w:r w:rsidRPr="003C5928">
        <w:rPr>
          <w:rFonts w:ascii="Times New Roman" w:hAnsi="Times New Roman"/>
          <w:i/>
          <w:sz w:val="22"/>
          <w:szCs w:val="22"/>
        </w:rPr>
        <w:t>Balkan Insight</w:t>
      </w:r>
      <w:r w:rsidRPr="003C5928">
        <w:rPr>
          <w:rFonts w:ascii="Times New Roman" w:hAnsi="Times New Roman"/>
          <w:sz w:val="22"/>
          <w:szCs w:val="22"/>
        </w:rPr>
        <w:t xml:space="preserve"> 03 June 2014. Available at: </w:t>
      </w:r>
      <w:hyperlink r:id="rId13" w:history="1">
        <w:r w:rsidRPr="003C5928">
          <w:rPr>
            <w:rStyle w:val="Hyperlink"/>
            <w:rFonts w:ascii="Times New Roman" w:hAnsi="Times New Roman"/>
            <w:sz w:val="22"/>
            <w:szCs w:val="22"/>
          </w:rPr>
          <w:t>http://www.balkaninsight.com/en/article/albania-students-rally-against-university-reform</w:t>
        </w:r>
      </w:hyperlink>
      <w:r w:rsidRPr="003C5928">
        <w:rPr>
          <w:rFonts w:ascii="Times New Roman" w:hAnsi="Times New Roman"/>
          <w:sz w:val="22"/>
          <w:szCs w:val="22"/>
        </w:rPr>
        <w:t xml:space="preserve">. See also Erebara, G. “Albania: Private Universities in Line For Public Cash”. Balkan Insight 09 July 2014. Available at </w:t>
      </w:r>
      <w:hyperlink r:id="rId14" w:history="1">
        <w:r w:rsidRPr="003C5928">
          <w:rPr>
            <w:rStyle w:val="Hyperlink"/>
            <w:rFonts w:ascii="Times New Roman" w:hAnsi="Times New Roman"/>
            <w:sz w:val="22"/>
            <w:szCs w:val="22"/>
          </w:rPr>
          <w:t>http://www.balkaninsight.com/en/article/albania-private-universities-eye-public-moneyNEWS 09 JUL 14</w:t>
        </w:r>
      </w:hyperlink>
      <w:r w:rsidRPr="003C5928">
        <w:rPr>
          <w:rFonts w:ascii="Times New Roman" w:hAnsi="Times New Roman"/>
          <w:sz w:val="22"/>
          <w:szCs w:val="22"/>
        </w:rPr>
        <w:t xml:space="preserve">. </w:t>
      </w:r>
    </w:p>
    <w:p w14:paraId="7FAC2AD4" w14:textId="77777777" w:rsidR="00F168ED" w:rsidRPr="00F168ED" w:rsidRDefault="00F168ED" w:rsidP="00974973"/>
    <w:p w14:paraId="0AF40D11" w14:textId="77777777" w:rsidR="00993D16" w:rsidRPr="007D4016" w:rsidRDefault="00993D16" w:rsidP="00691469">
      <w:pPr>
        <w:pStyle w:val="Heading1"/>
        <w:spacing w:before="0" w:after="100" w:afterAutospacing="1" w:line="240" w:lineRule="auto"/>
        <w:jc w:val="both"/>
        <w:rPr>
          <w:rFonts w:ascii="Times New Roman" w:hAnsi="Times New Roman"/>
          <w:color w:val="auto"/>
          <w:sz w:val="24"/>
          <w:szCs w:val="24"/>
          <w:lang w:val="en-US" w:eastAsia="en-GB"/>
        </w:rPr>
      </w:pPr>
      <w:r w:rsidRPr="007D4016">
        <w:rPr>
          <w:rFonts w:ascii="Times New Roman" w:hAnsi="Times New Roman"/>
          <w:color w:val="auto"/>
          <w:sz w:val="24"/>
          <w:szCs w:val="24"/>
          <w:lang w:val="en-US" w:eastAsia="en-GB"/>
        </w:rPr>
        <w:t>References</w:t>
      </w:r>
    </w:p>
    <w:p w14:paraId="4FA5F701" w14:textId="77777777" w:rsidR="005040F6" w:rsidRPr="007D4016" w:rsidRDefault="005040F6" w:rsidP="005040F6">
      <w:pPr>
        <w:pStyle w:val="Heading2"/>
        <w:rPr>
          <w:rFonts w:ascii="Times New Roman" w:hAnsi="Times New Roman" w:cs="Times New Roman"/>
          <w:b w:val="0"/>
          <w:i/>
          <w:color w:val="000000" w:themeColor="text1"/>
          <w:sz w:val="24"/>
          <w:szCs w:val="24"/>
          <w:lang w:val="en-US" w:eastAsia="en-GB"/>
        </w:rPr>
      </w:pPr>
      <w:r w:rsidRPr="007D4016">
        <w:rPr>
          <w:rFonts w:ascii="Times New Roman" w:hAnsi="Times New Roman" w:cs="Times New Roman"/>
          <w:b w:val="0"/>
          <w:i/>
          <w:color w:val="000000" w:themeColor="text1"/>
          <w:sz w:val="24"/>
          <w:szCs w:val="24"/>
          <w:lang w:val="en-US" w:eastAsia="en-GB"/>
        </w:rPr>
        <w:t>Primary sources</w:t>
      </w:r>
    </w:p>
    <w:p w14:paraId="2D01B330" w14:textId="77777777" w:rsidR="005040F6" w:rsidRPr="007D4016" w:rsidRDefault="005040F6" w:rsidP="005040F6">
      <w:pPr>
        <w:spacing w:after="100" w:afterAutospacing="1" w:line="240" w:lineRule="auto"/>
        <w:jc w:val="both"/>
        <w:rPr>
          <w:rStyle w:val="Hyperlink"/>
          <w:rFonts w:ascii="Times New Roman" w:hAnsi="Times New Roman"/>
          <w:sz w:val="24"/>
          <w:szCs w:val="24"/>
          <w:lang w:val="en-US" w:eastAsia="en-GB"/>
        </w:rPr>
      </w:pPr>
      <w:r w:rsidRPr="007D4016">
        <w:rPr>
          <w:rFonts w:ascii="Times New Roman" w:hAnsi="Times New Roman"/>
          <w:sz w:val="24"/>
          <w:szCs w:val="24"/>
          <w:lang w:val="en-US" w:eastAsia="en-GB"/>
        </w:rPr>
        <w:t xml:space="preserve">Albania. (2014). </w:t>
      </w:r>
      <w:r w:rsidRPr="007D4016">
        <w:rPr>
          <w:rFonts w:ascii="Times New Roman" w:hAnsi="Times New Roman"/>
          <w:i/>
          <w:sz w:val="24"/>
          <w:szCs w:val="24"/>
          <w:lang w:val="en-US" w:eastAsia="en-GB"/>
        </w:rPr>
        <w:t>First report on reform of higher education and scientific research</w:t>
      </w:r>
      <w:r w:rsidRPr="007D4016">
        <w:rPr>
          <w:rFonts w:ascii="Times New Roman" w:hAnsi="Times New Roman"/>
          <w:sz w:val="24"/>
          <w:szCs w:val="24"/>
          <w:lang w:val="en-US" w:eastAsia="en-GB"/>
        </w:rPr>
        <w:t xml:space="preserve">. Tirana: Committee for Reform in Higher Education and Scientific Research. Available at </w:t>
      </w:r>
      <w:hyperlink r:id="rId15" w:history="1">
        <w:r w:rsidRPr="007D4016">
          <w:rPr>
            <w:rStyle w:val="Hyperlink"/>
            <w:rFonts w:ascii="Times New Roman" w:hAnsi="Times New Roman"/>
            <w:sz w:val="24"/>
            <w:szCs w:val="24"/>
            <w:lang w:val="en-US" w:eastAsia="en-GB"/>
          </w:rPr>
          <w:t>http://www.kalksh.org/raporte-te-kerkimeve/</w:t>
        </w:r>
      </w:hyperlink>
    </w:p>
    <w:p w14:paraId="3543F967" w14:textId="77777777" w:rsidR="005040F6" w:rsidRPr="007D401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Albania. (2008). </w:t>
      </w:r>
      <w:r w:rsidRPr="007D4016">
        <w:rPr>
          <w:rFonts w:ascii="Times New Roman" w:hAnsi="Times New Roman"/>
          <w:i/>
          <w:sz w:val="24"/>
          <w:szCs w:val="24"/>
          <w:lang w:val="en-US" w:eastAsia="en-GB"/>
        </w:rPr>
        <w:t>National Strategy for Higher Education 2008-2013</w:t>
      </w:r>
      <w:r w:rsidRPr="007D4016">
        <w:rPr>
          <w:rFonts w:ascii="Times New Roman" w:hAnsi="Times New Roman"/>
          <w:sz w:val="24"/>
          <w:szCs w:val="24"/>
          <w:lang w:val="en-US" w:eastAsia="en-GB"/>
        </w:rPr>
        <w:t xml:space="preserve">. Available at </w:t>
      </w:r>
      <w:hyperlink r:id="rId16" w:history="1">
        <w:r w:rsidRPr="007D4016">
          <w:rPr>
            <w:rStyle w:val="Hyperlink"/>
            <w:rFonts w:ascii="Times New Roman" w:hAnsi="Times New Roman"/>
            <w:sz w:val="24"/>
            <w:szCs w:val="24"/>
            <w:lang w:val="en-US" w:eastAsia="en-GB"/>
          </w:rPr>
          <w:t>http://www.herdata.org/documents</w:t>
        </w:r>
      </w:hyperlink>
      <w:r w:rsidRPr="007D4016">
        <w:rPr>
          <w:rFonts w:ascii="Times New Roman" w:hAnsi="Times New Roman"/>
          <w:sz w:val="24"/>
          <w:szCs w:val="24"/>
          <w:lang w:val="en-US" w:eastAsia="en-GB"/>
        </w:rPr>
        <w:t xml:space="preserve"> </w:t>
      </w:r>
    </w:p>
    <w:p w14:paraId="0BC3AA68" w14:textId="77777777" w:rsidR="005040F6" w:rsidRPr="007D401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Albania. (2007). </w:t>
      </w:r>
      <w:r w:rsidRPr="007D4016">
        <w:rPr>
          <w:rFonts w:ascii="Times New Roman" w:hAnsi="Times New Roman"/>
          <w:i/>
          <w:sz w:val="24"/>
          <w:szCs w:val="24"/>
          <w:lang w:val="en-US" w:eastAsia="en-GB"/>
        </w:rPr>
        <w:t>Law on Higher Education</w:t>
      </w:r>
      <w:r w:rsidRPr="007D4016">
        <w:rPr>
          <w:rFonts w:ascii="Times New Roman" w:hAnsi="Times New Roman"/>
          <w:sz w:val="24"/>
          <w:szCs w:val="24"/>
          <w:lang w:val="en-US" w:eastAsia="en-GB"/>
        </w:rPr>
        <w:t xml:space="preserve">. Available at </w:t>
      </w:r>
      <w:hyperlink r:id="rId17" w:history="1">
        <w:r w:rsidRPr="007D4016">
          <w:rPr>
            <w:rStyle w:val="Hyperlink"/>
            <w:rFonts w:ascii="Times New Roman" w:hAnsi="Times New Roman"/>
            <w:sz w:val="24"/>
            <w:szCs w:val="24"/>
            <w:lang w:val="en-US"/>
          </w:rPr>
          <w:t>http://www.herdata.org/documents</w:t>
        </w:r>
      </w:hyperlink>
    </w:p>
    <w:p w14:paraId="6C6CFDEB" w14:textId="77777777" w:rsidR="005040F6" w:rsidRPr="007D4016" w:rsidRDefault="005040F6" w:rsidP="005040F6">
      <w:pPr>
        <w:autoSpaceDE w:val="0"/>
        <w:autoSpaceDN w:val="0"/>
        <w:adjustRightInd w:val="0"/>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Bosnia and Herzegovina. (2007). Framework Law on Higher Education in Bosnia and Herzegovina. Available at </w:t>
      </w:r>
      <w:hyperlink r:id="rId18" w:history="1">
        <w:r w:rsidRPr="007D4016">
          <w:rPr>
            <w:rStyle w:val="Hyperlink"/>
            <w:rFonts w:ascii="Times New Roman" w:hAnsi="Times New Roman"/>
            <w:sz w:val="24"/>
            <w:szCs w:val="24"/>
            <w:lang w:val="en-US"/>
          </w:rPr>
          <w:t>http://www.herdata.org/documents</w:t>
        </w:r>
      </w:hyperlink>
      <w:r w:rsidRPr="007D4016">
        <w:rPr>
          <w:rStyle w:val="Hyperlink"/>
          <w:rFonts w:ascii="Times New Roman" w:hAnsi="Times New Roman"/>
          <w:sz w:val="24"/>
          <w:szCs w:val="24"/>
          <w:lang w:val="en-US"/>
        </w:rPr>
        <w:t xml:space="preserve"> </w:t>
      </w:r>
    </w:p>
    <w:p w14:paraId="2C560BAC" w14:textId="77777777" w:rsidR="005040F6" w:rsidRPr="007D4016" w:rsidRDefault="005040F6" w:rsidP="005040F6">
      <w:pPr>
        <w:autoSpaceDE w:val="0"/>
        <w:autoSpaceDN w:val="0"/>
        <w:adjustRightInd w:val="0"/>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Croatia. (2003). </w:t>
      </w:r>
      <w:r w:rsidRPr="007D4016">
        <w:rPr>
          <w:rFonts w:ascii="Times New Roman" w:hAnsi="Times New Roman"/>
          <w:i/>
          <w:sz w:val="24"/>
          <w:szCs w:val="24"/>
          <w:lang w:val="en-US" w:eastAsia="en-GB"/>
        </w:rPr>
        <w:t>Law on Science and Higher Education</w:t>
      </w:r>
      <w:r w:rsidRPr="007D4016">
        <w:rPr>
          <w:rFonts w:ascii="Times New Roman" w:hAnsi="Times New Roman"/>
          <w:sz w:val="24"/>
          <w:szCs w:val="24"/>
          <w:lang w:val="en-US" w:eastAsia="en-GB"/>
        </w:rPr>
        <w:t xml:space="preserve">. Available at </w:t>
      </w:r>
      <w:hyperlink r:id="rId19" w:history="1">
        <w:r w:rsidRPr="007D4016">
          <w:rPr>
            <w:rStyle w:val="Hyperlink"/>
            <w:rFonts w:ascii="Times New Roman" w:hAnsi="Times New Roman"/>
            <w:sz w:val="24"/>
            <w:szCs w:val="24"/>
            <w:lang w:val="en-US"/>
          </w:rPr>
          <w:t>http://www.herdata.org/documents</w:t>
        </w:r>
      </w:hyperlink>
      <w:r w:rsidRPr="007D4016">
        <w:rPr>
          <w:rStyle w:val="Hyperlink"/>
          <w:rFonts w:ascii="Times New Roman" w:hAnsi="Times New Roman"/>
          <w:sz w:val="24"/>
          <w:szCs w:val="24"/>
          <w:lang w:val="en-US"/>
        </w:rPr>
        <w:t xml:space="preserve">  </w:t>
      </w:r>
    </w:p>
    <w:p w14:paraId="7C0A7D27" w14:textId="77777777" w:rsidR="005040F6" w:rsidRPr="007D4016" w:rsidRDefault="005040F6" w:rsidP="005040F6">
      <w:pPr>
        <w:spacing w:after="100" w:afterAutospacing="1" w:line="240" w:lineRule="auto"/>
        <w:jc w:val="both"/>
        <w:rPr>
          <w:rFonts w:ascii="Times New Roman" w:hAnsi="Times New Roman"/>
          <w:sz w:val="24"/>
          <w:szCs w:val="24"/>
          <w:lang w:val="en-US"/>
        </w:rPr>
      </w:pPr>
      <w:r w:rsidRPr="007D4016">
        <w:rPr>
          <w:rFonts w:ascii="Times New Roman" w:hAnsi="Times New Roman"/>
          <w:sz w:val="24"/>
          <w:szCs w:val="24"/>
          <w:lang w:val="en-US" w:eastAsia="en-GB"/>
        </w:rPr>
        <w:t xml:space="preserve">Canton Sarajevo, Bosnia and Herzegovina. (2008). </w:t>
      </w:r>
      <w:r w:rsidRPr="007D4016">
        <w:rPr>
          <w:rFonts w:ascii="Times New Roman" w:hAnsi="Times New Roman"/>
          <w:i/>
          <w:sz w:val="24"/>
          <w:szCs w:val="24"/>
          <w:lang w:val="en-US"/>
        </w:rPr>
        <w:t>Law on Higher Education of the Canton Sarajevo</w:t>
      </w:r>
      <w:r w:rsidRPr="007D4016">
        <w:rPr>
          <w:rFonts w:ascii="Times New Roman" w:hAnsi="Times New Roman"/>
          <w:sz w:val="24"/>
          <w:szCs w:val="24"/>
          <w:lang w:val="en-US"/>
        </w:rPr>
        <w:t xml:space="preserve">. </w:t>
      </w:r>
      <w:r w:rsidRPr="007D4016">
        <w:rPr>
          <w:rFonts w:ascii="Times New Roman" w:hAnsi="Times New Roman"/>
          <w:sz w:val="24"/>
          <w:szCs w:val="24"/>
          <w:lang w:val="en-US" w:eastAsia="en-GB"/>
        </w:rPr>
        <w:t xml:space="preserve">Available at </w:t>
      </w:r>
      <w:hyperlink r:id="rId20" w:history="1">
        <w:r w:rsidRPr="007D4016">
          <w:rPr>
            <w:rStyle w:val="Hyperlink"/>
            <w:rFonts w:ascii="Times New Roman" w:hAnsi="Times New Roman"/>
            <w:sz w:val="24"/>
            <w:szCs w:val="24"/>
            <w:lang w:val="en-US"/>
          </w:rPr>
          <w:t>http://www.herdata.org/documents</w:t>
        </w:r>
      </w:hyperlink>
    </w:p>
    <w:p w14:paraId="39703FCC" w14:textId="77777777" w:rsidR="00DB002A" w:rsidRDefault="005040F6" w:rsidP="00DB002A">
      <w:pPr>
        <w:pStyle w:val="Pa3"/>
        <w:jc w:val="both"/>
        <w:rPr>
          <w:rStyle w:val="A6"/>
          <w:rFonts w:ascii="Times New Roman" w:hAnsi="Times New Roman" w:cs="Times New Roman"/>
          <w:sz w:val="24"/>
          <w:szCs w:val="24"/>
          <w:lang w:val="en-US"/>
        </w:rPr>
      </w:pPr>
      <w:r w:rsidRPr="007D4016">
        <w:rPr>
          <w:rStyle w:val="A6"/>
          <w:rFonts w:ascii="Times New Roman" w:hAnsi="Times New Roman" w:cs="Times New Roman"/>
          <w:bCs/>
          <w:sz w:val="24"/>
          <w:szCs w:val="24"/>
          <w:lang w:val="en-US"/>
        </w:rPr>
        <w:t>European Commission. (2013).</w:t>
      </w:r>
      <w:r w:rsidRPr="007D4016">
        <w:rPr>
          <w:rStyle w:val="A6"/>
          <w:rFonts w:ascii="Times New Roman" w:hAnsi="Times New Roman" w:cs="Times New Roman"/>
          <w:b/>
          <w:bCs/>
          <w:sz w:val="24"/>
          <w:szCs w:val="24"/>
          <w:lang w:val="en-US"/>
        </w:rPr>
        <w:t xml:space="preserve"> </w:t>
      </w:r>
      <w:r w:rsidRPr="007D4016">
        <w:rPr>
          <w:rStyle w:val="A6"/>
          <w:rFonts w:ascii="Times New Roman" w:hAnsi="Times New Roman" w:cs="Times New Roman"/>
          <w:i/>
          <w:iCs/>
          <w:sz w:val="24"/>
          <w:szCs w:val="24"/>
          <w:lang w:val="en-US"/>
        </w:rPr>
        <w:t xml:space="preserve">Knowledge Transfer Study 2010-2012. </w:t>
      </w:r>
      <w:r w:rsidRPr="007D4016">
        <w:rPr>
          <w:rStyle w:val="A6"/>
          <w:rFonts w:ascii="Times New Roman" w:hAnsi="Times New Roman" w:cs="Times New Roman"/>
          <w:iCs/>
          <w:sz w:val="24"/>
          <w:szCs w:val="24"/>
          <w:lang w:val="en-US"/>
        </w:rPr>
        <w:t>Brussels:</w:t>
      </w:r>
      <w:r w:rsidRPr="007D4016">
        <w:rPr>
          <w:rStyle w:val="A6"/>
          <w:rFonts w:ascii="Times New Roman" w:hAnsi="Times New Roman" w:cs="Times New Roman"/>
          <w:i/>
          <w:iCs/>
          <w:sz w:val="24"/>
          <w:szCs w:val="24"/>
          <w:lang w:val="en-US"/>
        </w:rPr>
        <w:t xml:space="preserve"> </w:t>
      </w:r>
      <w:r w:rsidRPr="007D4016">
        <w:rPr>
          <w:rStyle w:val="A6"/>
          <w:rFonts w:ascii="Times New Roman" w:hAnsi="Times New Roman" w:cs="Times New Roman"/>
          <w:sz w:val="24"/>
          <w:szCs w:val="24"/>
          <w:lang w:val="en-US"/>
        </w:rPr>
        <w:t xml:space="preserve">European Commission Directorate-General for Research and Innovation, June 2013. Available at: </w:t>
      </w:r>
      <w:hyperlink r:id="rId21" w:history="1">
        <w:r w:rsidRPr="007D4016">
          <w:rPr>
            <w:rStyle w:val="Hyperlink"/>
            <w:rFonts w:ascii="Times New Roman" w:hAnsi="Times New Roman" w:cs="Times New Roman"/>
            <w:lang w:val="en-US"/>
          </w:rPr>
          <w:t>http://www.knowledge-transfer-study.eu/home/</w:t>
        </w:r>
      </w:hyperlink>
      <w:r w:rsidRPr="007D4016">
        <w:rPr>
          <w:rStyle w:val="A6"/>
          <w:rFonts w:ascii="Times New Roman" w:hAnsi="Times New Roman" w:cs="Times New Roman"/>
          <w:sz w:val="24"/>
          <w:szCs w:val="24"/>
          <w:lang w:val="en-US"/>
        </w:rPr>
        <w:t xml:space="preserve"> </w:t>
      </w:r>
    </w:p>
    <w:p w14:paraId="224C4E0D" w14:textId="77777777" w:rsidR="007D4016" w:rsidRDefault="007D4016" w:rsidP="007D4016">
      <w:pPr>
        <w:pStyle w:val="Default"/>
        <w:rPr>
          <w:lang w:val="en-US"/>
        </w:rPr>
      </w:pPr>
    </w:p>
    <w:p w14:paraId="645B1380" w14:textId="77777777" w:rsidR="007D4016" w:rsidRPr="007D4016" w:rsidRDefault="007D4016" w:rsidP="007D4016">
      <w:pPr>
        <w:pStyle w:val="Default"/>
        <w:rPr>
          <w:lang w:val="en-US"/>
        </w:rPr>
      </w:pPr>
      <w:r w:rsidRPr="007D4016">
        <w:rPr>
          <w:rStyle w:val="A6"/>
          <w:rFonts w:ascii="Times New Roman" w:hAnsi="Times New Roman" w:cs="Times New Roman"/>
          <w:iCs/>
          <w:sz w:val="24"/>
          <w:szCs w:val="24"/>
          <w:lang w:val="en-US"/>
        </w:rPr>
        <w:t xml:space="preserve">European Commission. (2008). </w:t>
      </w:r>
      <w:r w:rsidRPr="007D4016">
        <w:rPr>
          <w:rStyle w:val="A6"/>
          <w:rFonts w:ascii="Times New Roman" w:hAnsi="Times New Roman" w:cs="Times New Roman"/>
          <w:i/>
          <w:iCs/>
          <w:sz w:val="24"/>
          <w:szCs w:val="24"/>
          <w:lang w:val="en-US"/>
        </w:rPr>
        <w:t>Commission Recommendation on the management of intellectual property in knowledge transfer activities and Code of Practice for universities and other public research organisations</w:t>
      </w:r>
      <w:r w:rsidRPr="007D4016">
        <w:rPr>
          <w:rStyle w:val="A6"/>
          <w:rFonts w:ascii="Times New Roman" w:hAnsi="Times New Roman" w:cs="Times New Roman"/>
          <w:sz w:val="24"/>
          <w:szCs w:val="24"/>
          <w:lang w:val="en-US"/>
        </w:rPr>
        <w:t xml:space="preserve">. Brussels: European Commission Directorate-General for Research. Available at: </w:t>
      </w:r>
      <w:hyperlink r:id="rId22" w:history="1">
        <w:r w:rsidRPr="007D4016">
          <w:rPr>
            <w:rStyle w:val="Hyperlink"/>
            <w:rFonts w:ascii="Times New Roman" w:hAnsi="Times New Roman" w:cs="Times New Roman"/>
            <w:lang w:val="en-US"/>
          </w:rPr>
          <w:t>http://ec.europa.eu/research/era/docs/en/knowledge-sharing-european-commission-1329-2008-en-pub.pdf</w:t>
        </w:r>
      </w:hyperlink>
    </w:p>
    <w:p w14:paraId="1507F9FB" w14:textId="77777777" w:rsidR="00DB002A" w:rsidRPr="007D4016" w:rsidRDefault="00DB002A" w:rsidP="00DB002A">
      <w:pPr>
        <w:pStyle w:val="Pa3"/>
        <w:jc w:val="both"/>
        <w:rPr>
          <w:rStyle w:val="A6"/>
          <w:rFonts w:ascii="Times New Roman" w:hAnsi="Times New Roman" w:cs="Times New Roman"/>
          <w:sz w:val="24"/>
          <w:szCs w:val="24"/>
          <w:lang w:val="en-US"/>
        </w:rPr>
      </w:pPr>
    </w:p>
    <w:p w14:paraId="6E0DDBE9" w14:textId="77777777" w:rsidR="00DB002A" w:rsidRPr="007D4016" w:rsidRDefault="00DB002A" w:rsidP="00DB002A">
      <w:pPr>
        <w:pStyle w:val="Pa3"/>
        <w:jc w:val="both"/>
        <w:rPr>
          <w:rFonts w:ascii="Times New Roman" w:hAnsi="Times New Roman" w:cs="Times New Roman"/>
          <w:color w:val="000000"/>
          <w:lang w:val="en-US"/>
        </w:rPr>
      </w:pPr>
      <w:r w:rsidRPr="007D4016">
        <w:rPr>
          <w:rFonts w:ascii="Times New Roman" w:eastAsia="Calibri" w:hAnsi="Times New Roman" w:cs="Times New Roman"/>
          <w:lang w:val="en-US" w:eastAsia="en-GB"/>
        </w:rPr>
        <w:t xml:space="preserve">European Council. (2007). Council Resolution on modernising universities for Europe's competitiveness in a global knowledge economy. 23 November 2007. Available at: </w:t>
      </w:r>
      <w:hyperlink r:id="rId23" w:history="1">
        <w:r w:rsidRPr="007D4016">
          <w:rPr>
            <w:rStyle w:val="Hyperlink"/>
            <w:rFonts w:ascii="Times New Roman" w:eastAsia="Calibri" w:hAnsi="Times New Roman" w:cs="Times New Roman"/>
            <w:lang w:val="en-US" w:eastAsia="en-GB"/>
          </w:rPr>
          <w:t>http://www.consilium.europa.eu/ueDocs/newsWord/en/intm/97237.doc</w:t>
        </w:r>
      </w:hyperlink>
      <w:r w:rsidRPr="007D4016">
        <w:rPr>
          <w:rFonts w:ascii="Times New Roman" w:eastAsia="Calibri" w:hAnsi="Times New Roman" w:cs="Times New Roman"/>
          <w:lang w:val="en-US" w:eastAsia="en-GB"/>
        </w:rPr>
        <w:t xml:space="preserve"> </w:t>
      </w:r>
    </w:p>
    <w:p w14:paraId="24BA6FA9" w14:textId="77777777" w:rsidR="005040F6" w:rsidRPr="007D4016" w:rsidRDefault="005040F6" w:rsidP="005040F6">
      <w:pPr>
        <w:pStyle w:val="Pa3"/>
        <w:jc w:val="both"/>
        <w:rPr>
          <w:rStyle w:val="A6"/>
          <w:rFonts w:ascii="Times New Roman" w:hAnsi="Times New Roman" w:cs="Times New Roman"/>
          <w:b/>
          <w:bCs/>
          <w:sz w:val="24"/>
          <w:szCs w:val="24"/>
          <w:lang w:val="en-US"/>
        </w:rPr>
      </w:pPr>
    </w:p>
    <w:p w14:paraId="1F5A5D2B" w14:textId="77777777" w:rsidR="005040F6" w:rsidRPr="007D4016" w:rsidRDefault="005040F6" w:rsidP="005040F6">
      <w:pPr>
        <w:pStyle w:val="Default"/>
        <w:rPr>
          <w:rFonts w:ascii="Times New Roman" w:hAnsi="Times New Roman" w:cs="Times New Roman"/>
          <w:lang w:val="en-US"/>
        </w:rPr>
      </w:pPr>
      <w:r w:rsidRPr="007D4016">
        <w:rPr>
          <w:rFonts w:ascii="Times New Roman" w:hAnsi="Times New Roman" w:cs="Times New Roman"/>
          <w:lang w:val="en-US"/>
        </w:rPr>
        <w:t xml:space="preserve">Eurydice. (2014). </w:t>
      </w:r>
      <w:r w:rsidRPr="007D4016">
        <w:rPr>
          <w:rFonts w:ascii="Times New Roman" w:hAnsi="Times New Roman" w:cs="Times New Roman"/>
          <w:i/>
          <w:lang w:val="en-US"/>
        </w:rPr>
        <w:t>National Student Fees and Support Systems 2013/14</w:t>
      </w:r>
      <w:r w:rsidRPr="007D4016">
        <w:rPr>
          <w:rFonts w:ascii="Times New Roman" w:hAnsi="Times New Roman" w:cs="Times New Roman"/>
          <w:lang w:val="en-US"/>
        </w:rPr>
        <w:t xml:space="preserve">. Facts and Figures. Brussels: Eurydice. Available at: </w:t>
      </w:r>
      <w:hyperlink r:id="rId24" w:history="1">
        <w:r w:rsidRPr="007D4016">
          <w:rPr>
            <w:rStyle w:val="Hyperlink"/>
            <w:rFonts w:ascii="Times New Roman" w:hAnsi="Times New Roman" w:cs="Times New Roman"/>
            <w:lang w:val="en-US"/>
          </w:rPr>
          <w:t>http://eacea.ec.europa.eu/education/eurydice/documents/facts_and_figures/fees_support.pdf</w:t>
        </w:r>
      </w:hyperlink>
      <w:r w:rsidRPr="007D4016">
        <w:rPr>
          <w:rFonts w:ascii="Times New Roman" w:hAnsi="Times New Roman" w:cs="Times New Roman"/>
          <w:lang w:val="en-US"/>
        </w:rPr>
        <w:t xml:space="preserve"> </w:t>
      </w:r>
    </w:p>
    <w:p w14:paraId="68B50BFE" w14:textId="77777777" w:rsidR="005040F6" w:rsidRPr="007D4016" w:rsidRDefault="005040F6" w:rsidP="005040F6">
      <w:pPr>
        <w:pStyle w:val="Default"/>
        <w:rPr>
          <w:rFonts w:ascii="Times New Roman" w:hAnsi="Times New Roman" w:cs="Times New Roman"/>
          <w:lang w:val="en-US"/>
        </w:rPr>
      </w:pPr>
    </w:p>
    <w:p w14:paraId="0499F328" w14:textId="77777777" w:rsidR="005040F6" w:rsidRPr="007D4016" w:rsidRDefault="005040F6" w:rsidP="005040F6">
      <w:pPr>
        <w:autoSpaceDE w:val="0"/>
        <w:autoSpaceDN w:val="0"/>
        <w:adjustRightInd w:val="0"/>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Kosovo. (2011). </w:t>
      </w:r>
      <w:r w:rsidRPr="007D4016">
        <w:rPr>
          <w:rFonts w:ascii="Times New Roman" w:hAnsi="Times New Roman"/>
          <w:i/>
          <w:sz w:val="24"/>
          <w:szCs w:val="24"/>
          <w:lang w:val="en-US" w:eastAsia="en-GB"/>
        </w:rPr>
        <w:t>Law on Higher Education</w:t>
      </w:r>
      <w:r w:rsidRPr="007D4016">
        <w:rPr>
          <w:rFonts w:ascii="Times New Roman" w:hAnsi="Times New Roman"/>
          <w:sz w:val="24"/>
          <w:szCs w:val="24"/>
          <w:lang w:val="en-US" w:eastAsia="en-GB"/>
        </w:rPr>
        <w:t xml:space="preserve">. Available at </w:t>
      </w:r>
      <w:hyperlink r:id="rId25" w:history="1">
        <w:r w:rsidRPr="007D4016">
          <w:rPr>
            <w:rStyle w:val="Hyperlink"/>
            <w:rFonts w:ascii="Times New Roman" w:hAnsi="Times New Roman"/>
            <w:sz w:val="24"/>
            <w:szCs w:val="24"/>
            <w:lang w:val="en-US"/>
          </w:rPr>
          <w:t>http://www.herdata.org/documents</w:t>
        </w:r>
      </w:hyperlink>
    </w:p>
    <w:p w14:paraId="2111FDE1" w14:textId="77777777" w:rsidR="005040F6" w:rsidRPr="007D401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Macedonia. (2013). </w:t>
      </w:r>
      <w:r w:rsidRPr="007D4016">
        <w:rPr>
          <w:rFonts w:ascii="Times New Roman" w:hAnsi="Times New Roman"/>
          <w:i/>
          <w:sz w:val="24"/>
          <w:szCs w:val="24"/>
          <w:lang w:val="en-US" w:eastAsia="en-GB"/>
        </w:rPr>
        <w:t>Law on Higher Education (consolidated text</w:t>
      </w:r>
      <w:r w:rsidRPr="007D4016">
        <w:rPr>
          <w:rFonts w:ascii="Times New Roman" w:hAnsi="Times New Roman"/>
          <w:sz w:val="24"/>
          <w:szCs w:val="24"/>
          <w:lang w:val="en-US" w:eastAsia="en-GB"/>
        </w:rPr>
        <w:t xml:space="preserve">). Available at </w:t>
      </w:r>
      <w:hyperlink r:id="rId26" w:history="1">
        <w:r w:rsidRPr="007D4016">
          <w:rPr>
            <w:rStyle w:val="Hyperlink"/>
            <w:rFonts w:ascii="Times New Roman" w:hAnsi="Times New Roman"/>
            <w:sz w:val="24"/>
            <w:szCs w:val="24"/>
            <w:lang w:val="en-US"/>
          </w:rPr>
          <w:t>http://www.herdata.org/documents</w:t>
        </w:r>
      </w:hyperlink>
    </w:p>
    <w:p w14:paraId="4A456AFE" w14:textId="77777777" w:rsidR="005040F6" w:rsidRPr="007D401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Montenegro. (2011). </w:t>
      </w:r>
      <w:r w:rsidRPr="007D4016">
        <w:rPr>
          <w:rFonts w:ascii="Times New Roman" w:hAnsi="Times New Roman"/>
          <w:i/>
          <w:sz w:val="24"/>
          <w:szCs w:val="24"/>
          <w:lang w:val="en-US" w:eastAsia="en-GB"/>
        </w:rPr>
        <w:t>Strategija razvoja i finansiranja visokog obrazovanja u Crnoj Gori 2011-2020 [Strategy on the Development and Financing of Higher Education in Montenegro 2011-2020].</w:t>
      </w:r>
      <w:r w:rsidRPr="007D4016">
        <w:rPr>
          <w:rFonts w:ascii="Times New Roman" w:hAnsi="Times New Roman"/>
          <w:sz w:val="24"/>
          <w:szCs w:val="24"/>
          <w:lang w:val="en-US" w:eastAsia="en-GB"/>
        </w:rPr>
        <w:t xml:space="preserve"> Podgorica: Ministry for education and sports.</w:t>
      </w:r>
      <w:r w:rsidRPr="007D4016">
        <w:rPr>
          <w:rFonts w:ascii="Times New Roman" w:hAnsi="Times New Roman"/>
          <w:sz w:val="24"/>
          <w:szCs w:val="24"/>
          <w:lang w:val="en-US"/>
        </w:rPr>
        <w:t xml:space="preserve"> </w:t>
      </w:r>
      <w:r w:rsidRPr="007D4016">
        <w:rPr>
          <w:rFonts w:ascii="Times New Roman" w:hAnsi="Times New Roman"/>
          <w:sz w:val="24"/>
          <w:szCs w:val="24"/>
          <w:lang w:val="en-US" w:eastAsia="en-GB"/>
        </w:rPr>
        <w:t xml:space="preserve">Available at </w:t>
      </w:r>
      <w:hyperlink r:id="rId27" w:history="1">
        <w:r w:rsidRPr="007D4016">
          <w:rPr>
            <w:rStyle w:val="Hyperlink"/>
            <w:rFonts w:ascii="Times New Roman" w:hAnsi="Times New Roman"/>
            <w:sz w:val="24"/>
            <w:szCs w:val="24"/>
            <w:lang w:val="en-US" w:eastAsia="en-GB"/>
          </w:rPr>
          <w:t>http://www.herdata.org/documents</w:t>
        </w:r>
      </w:hyperlink>
      <w:r w:rsidRPr="007D4016">
        <w:rPr>
          <w:rFonts w:ascii="Times New Roman" w:hAnsi="Times New Roman"/>
          <w:sz w:val="24"/>
          <w:szCs w:val="24"/>
          <w:lang w:val="en-US" w:eastAsia="en-GB"/>
        </w:rPr>
        <w:t xml:space="preserve"> </w:t>
      </w:r>
    </w:p>
    <w:p w14:paraId="64266C56" w14:textId="77777777" w:rsidR="005040F6" w:rsidRPr="007D4016" w:rsidRDefault="005040F6" w:rsidP="005040F6">
      <w:pPr>
        <w:spacing w:after="100" w:afterAutospacing="1" w:line="240" w:lineRule="auto"/>
        <w:jc w:val="both"/>
        <w:rPr>
          <w:rStyle w:val="Hyperlink"/>
          <w:rFonts w:ascii="Times New Roman" w:hAnsi="Times New Roman"/>
          <w:sz w:val="24"/>
          <w:szCs w:val="24"/>
          <w:lang w:val="en-US"/>
        </w:rPr>
      </w:pPr>
      <w:r w:rsidRPr="007D4016">
        <w:rPr>
          <w:rFonts w:ascii="Times New Roman" w:hAnsi="Times New Roman"/>
          <w:sz w:val="24"/>
          <w:szCs w:val="24"/>
          <w:lang w:val="en-US" w:eastAsia="en-GB"/>
        </w:rPr>
        <w:t xml:space="preserve">Montenegro. (2013). </w:t>
      </w:r>
      <w:r w:rsidRPr="007D4016">
        <w:rPr>
          <w:rFonts w:ascii="Times New Roman" w:hAnsi="Times New Roman"/>
          <w:i/>
          <w:sz w:val="24"/>
          <w:szCs w:val="24"/>
          <w:lang w:val="en-US" w:eastAsia="en-GB"/>
        </w:rPr>
        <w:t>Law on Higher Education (consolidated text)</w:t>
      </w:r>
      <w:r w:rsidRPr="007D4016">
        <w:rPr>
          <w:rFonts w:ascii="Times New Roman" w:hAnsi="Times New Roman"/>
          <w:sz w:val="24"/>
          <w:szCs w:val="24"/>
          <w:lang w:val="en-US" w:eastAsia="en-GB"/>
        </w:rPr>
        <w:t xml:space="preserve">. Available at </w:t>
      </w:r>
      <w:hyperlink r:id="rId28" w:history="1">
        <w:r w:rsidRPr="007D4016">
          <w:rPr>
            <w:rStyle w:val="Hyperlink"/>
            <w:rFonts w:ascii="Times New Roman" w:hAnsi="Times New Roman"/>
            <w:sz w:val="24"/>
            <w:szCs w:val="24"/>
            <w:lang w:val="en-US"/>
          </w:rPr>
          <w:t>http://www.herdata.org/documents</w:t>
        </w:r>
      </w:hyperlink>
    </w:p>
    <w:p w14:paraId="311705D2" w14:textId="348A9817" w:rsidR="005040F6" w:rsidRPr="007D401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Regional Cooperation Council. (2013). </w:t>
      </w:r>
      <w:r w:rsidRPr="007D4016">
        <w:rPr>
          <w:rFonts w:ascii="Times New Roman" w:hAnsi="Times New Roman"/>
          <w:i/>
          <w:sz w:val="24"/>
          <w:szCs w:val="24"/>
          <w:lang w:val="en-US" w:eastAsia="en-GB"/>
        </w:rPr>
        <w:t xml:space="preserve">South East Europe 2020: Jobs and </w:t>
      </w:r>
      <w:r w:rsidR="001957BC">
        <w:rPr>
          <w:rFonts w:ascii="Times New Roman" w:hAnsi="Times New Roman"/>
          <w:i/>
          <w:sz w:val="24"/>
          <w:szCs w:val="24"/>
          <w:lang w:val="en-US" w:eastAsia="en-GB"/>
        </w:rPr>
        <w:t>p</w:t>
      </w:r>
      <w:r w:rsidRPr="007D4016">
        <w:rPr>
          <w:rFonts w:ascii="Times New Roman" w:hAnsi="Times New Roman"/>
          <w:i/>
          <w:sz w:val="24"/>
          <w:szCs w:val="24"/>
          <w:lang w:val="en-US" w:eastAsia="en-GB"/>
        </w:rPr>
        <w:t>rosperity in the European perspective</w:t>
      </w:r>
      <w:r w:rsidRPr="007D4016">
        <w:rPr>
          <w:rFonts w:ascii="Times New Roman" w:hAnsi="Times New Roman"/>
          <w:sz w:val="24"/>
          <w:szCs w:val="24"/>
          <w:lang w:val="en-US" w:eastAsia="en-GB"/>
        </w:rPr>
        <w:t xml:space="preserve">. Sarajevo: Regional Cooperation Council. Available at </w:t>
      </w:r>
      <w:hyperlink r:id="rId29" w:history="1">
        <w:r w:rsidRPr="007D4016">
          <w:rPr>
            <w:rStyle w:val="Hyperlink"/>
            <w:rFonts w:ascii="Times New Roman" w:hAnsi="Times New Roman"/>
            <w:sz w:val="24"/>
            <w:szCs w:val="24"/>
            <w:lang w:val="en-US" w:eastAsia="en-GB"/>
          </w:rPr>
          <w:t>http://www.rcc.int/pubs/20/south-east-europe-2020-strategy</w:t>
        </w:r>
      </w:hyperlink>
      <w:r w:rsidRPr="007D4016">
        <w:rPr>
          <w:rFonts w:ascii="Times New Roman" w:hAnsi="Times New Roman"/>
          <w:sz w:val="24"/>
          <w:szCs w:val="24"/>
          <w:lang w:val="en-US" w:eastAsia="en-GB"/>
        </w:rPr>
        <w:t xml:space="preserve"> </w:t>
      </w:r>
    </w:p>
    <w:p w14:paraId="5B471650" w14:textId="77777777" w:rsidR="005040F6" w:rsidRPr="007D401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Republic of Srbska. (2010). </w:t>
      </w:r>
      <w:r w:rsidRPr="007D4016">
        <w:rPr>
          <w:rFonts w:ascii="Times New Roman" w:hAnsi="Times New Roman"/>
          <w:i/>
          <w:sz w:val="24"/>
          <w:szCs w:val="24"/>
          <w:lang w:val="en-US" w:eastAsia="en-GB"/>
        </w:rPr>
        <w:t>Law on Higher Education</w:t>
      </w:r>
      <w:r w:rsidRPr="007D4016">
        <w:rPr>
          <w:rFonts w:ascii="Times New Roman" w:hAnsi="Times New Roman"/>
          <w:sz w:val="24"/>
          <w:szCs w:val="24"/>
          <w:lang w:val="en-US" w:eastAsia="en-GB"/>
        </w:rPr>
        <w:t xml:space="preserve">. Available at </w:t>
      </w:r>
      <w:hyperlink r:id="rId30" w:history="1">
        <w:r w:rsidRPr="007D4016">
          <w:rPr>
            <w:rStyle w:val="Hyperlink"/>
            <w:rFonts w:ascii="Times New Roman" w:hAnsi="Times New Roman"/>
            <w:sz w:val="24"/>
            <w:szCs w:val="24"/>
            <w:lang w:val="en-US"/>
          </w:rPr>
          <w:t>http://www.herdata.org/documents</w:t>
        </w:r>
      </w:hyperlink>
    </w:p>
    <w:p w14:paraId="512FF0C6" w14:textId="77777777" w:rsidR="005040F6" w:rsidRPr="007D401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Serbia. (2005). Law on Higher Education. Available at </w:t>
      </w:r>
      <w:hyperlink r:id="rId31" w:history="1">
        <w:r w:rsidRPr="007D4016">
          <w:rPr>
            <w:rStyle w:val="Hyperlink"/>
            <w:rFonts w:ascii="Times New Roman" w:hAnsi="Times New Roman"/>
            <w:sz w:val="24"/>
            <w:szCs w:val="24"/>
            <w:lang w:val="en-US"/>
          </w:rPr>
          <w:t>http://www.herdata.org/documents</w:t>
        </w:r>
      </w:hyperlink>
    </w:p>
    <w:p w14:paraId="3734C37B" w14:textId="77777777" w:rsidR="005040F6" w:rsidRPr="007D401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Serbia</w:t>
      </w:r>
      <w:r w:rsidRPr="007D4016">
        <w:rPr>
          <w:rFonts w:ascii="Times New Roman" w:hAnsi="Times New Roman"/>
          <w:sz w:val="24"/>
          <w:szCs w:val="24"/>
          <w:lang w:val="en-US"/>
        </w:rPr>
        <w:t xml:space="preserve">. (2012) </w:t>
      </w:r>
      <w:r w:rsidRPr="007D4016">
        <w:rPr>
          <w:rFonts w:ascii="Times New Roman" w:hAnsi="Times New Roman"/>
          <w:i/>
          <w:sz w:val="24"/>
          <w:szCs w:val="24"/>
          <w:lang w:val="en-US"/>
        </w:rPr>
        <w:t>National Report regarding the Bologna Process implementation 2009-2012</w:t>
      </w:r>
      <w:r w:rsidRPr="007D4016">
        <w:rPr>
          <w:rFonts w:ascii="Times New Roman" w:hAnsi="Times New Roman"/>
          <w:sz w:val="24"/>
          <w:szCs w:val="24"/>
          <w:lang w:val="en-US"/>
        </w:rPr>
        <w:t xml:space="preserve">. Available at: </w:t>
      </w:r>
      <w:hyperlink r:id="rId32" w:history="1">
        <w:r w:rsidRPr="007D4016">
          <w:rPr>
            <w:rStyle w:val="Hyperlink"/>
            <w:rFonts w:ascii="Times New Roman" w:hAnsi="Times New Roman"/>
            <w:sz w:val="24"/>
            <w:szCs w:val="24"/>
            <w:lang w:val="en-US" w:eastAsia="en-GB"/>
          </w:rPr>
          <w:t>http://www.ehea.info/Uploads/National%20reports/Serbia.pdf</w:t>
        </w:r>
      </w:hyperlink>
    </w:p>
    <w:p w14:paraId="7E3C2091" w14:textId="77777777" w:rsidR="005040F6" w:rsidRPr="007D401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Slovenia. (1993). </w:t>
      </w:r>
      <w:r w:rsidRPr="007D4016">
        <w:rPr>
          <w:rFonts w:ascii="Times New Roman" w:hAnsi="Times New Roman"/>
          <w:i/>
          <w:sz w:val="24"/>
          <w:szCs w:val="24"/>
          <w:lang w:val="en-US" w:eastAsia="en-GB"/>
        </w:rPr>
        <w:t>Higher Education Law</w:t>
      </w:r>
      <w:r w:rsidRPr="007D4016">
        <w:rPr>
          <w:rFonts w:ascii="Times New Roman" w:hAnsi="Times New Roman"/>
          <w:sz w:val="24"/>
          <w:szCs w:val="24"/>
          <w:lang w:val="en-US" w:eastAsia="en-GB"/>
        </w:rPr>
        <w:t xml:space="preserve">. Available at: </w:t>
      </w:r>
      <w:hyperlink r:id="rId33" w:history="1">
        <w:r w:rsidRPr="007D4016">
          <w:rPr>
            <w:rStyle w:val="Hyperlink"/>
            <w:rFonts w:ascii="Times New Roman" w:hAnsi="Times New Roman"/>
            <w:sz w:val="24"/>
            <w:szCs w:val="24"/>
            <w:lang w:val="en-US" w:eastAsia="en-GB"/>
          </w:rPr>
          <w:t>http://www.pisrs.si/Pis.web/pregledPredpisa?id=ZAKO172</w:t>
        </w:r>
      </w:hyperlink>
      <w:r w:rsidRPr="007D4016">
        <w:rPr>
          <w:rFonts w:ascii="Times New Roman" w:hAnsi="Times New Roman"/>
          <w:sz w:val="24"/>
          <w:szCs w:val="24"/>
          <w:lang w:val="en-US" w:eastAsia="en-GB"/>
        </w:rPr>
        <w:t xml:space="preserve"> </w:t>
      </w:r>
    </w:p>
    <w:p w14:paraId="63BA678A" w14:textId="77777777" w:rsidR="005040F6" w:rsidRPr="007D4016" w:rsidRDefault="005040F6" w:rsidP="005040F6">
      <w:pPr>
        <w:spacing w:after="240" w:line="240" w:lineRule="auto"/>
        <w:jc w:val="both"/>
        <w:rPr>
          <w:rFonts w:ascii="Times New Roman" w:hAnsi="Times New Roman"/>
          <w:color w:val="000000"/>
          <w:sz w:val="24"/>
          <w:szCs w:val="24"/>
          <w:shd w:val="clear" w:color="auto" w:fill="DDDDDD"/>
          <w:lang w:val="en-US"/>
        </w:rPr>
      </w:pPr>
      <w:r w:rsidRPr="007D4016">
        <w:rPr>
          <w:rFonts w:ascii="Times New Roman" w:eastAsiaTheme="minorHAnsi" w:hAnsi="Times New Roman"/>
          <w:sz w:val="24"/>
          <w:szCs w:val="24"/>
          <w:lang w:val="en-US"/>
        </w:rPr>
        <w:t>Slovenia. (2011</w:t>
      </w:r>
      <w:r w:rsidR="00C85F37" w:rsidRPr="007D4016">
        <w:rPr>
          <w:rFonts w:ascii="Times New Roman" w:eastAsiaTheme="minorHAnsi" w:hAnsi="Times New Roman"/>
          <w:sz w:val="24"/>
          <w:szCs w:val="24"/>
          <w:lang w:val="en-US"/>
        </w:rPr>
        <w:t>a</w:t>
      </w:r>
      <w:r w:rsidRPr="007D4016">
        <w:rPr>
          <w:rFonts w:ascii="Times New Roman" w:eastAsiaTheme="minorHAnsi" w:hAnsi="Times New Roman"/>
          <w:sz w:val="24"/>
          <w:szCs w:val="24"/>
          <w:lang w:val="en-US"/>
        </w:rPr>
        <w:t xml:space="preserve">). Vpis v dodiplomske študijske programe in enovite magistrske študijske programe druge stopnje v študijskem letu 2010/2011 [Enrolments to first cycle and second cycle study programmes in the academic year 2010/2011]. Ljubljana: Ministry of Higher Education, Science and Technology. Available at: </w:t>
      </w:r>
      <w:hyperlink r:id="rId34" w:history="1">
        <w:r w:rsidRPr="007D4016">
          <w:rPr>
            <w:rFonts w:ascii="Times New Roman" w:hAnsi="Times New Roman"/>
            <w:color w:val="0000CC"/>
            <w:sz w:val="24"/>
            <w:szCs w:val="24"/>
            <w:u w:val="single"/>
            <w:lang w:val="en-US"/>
          </w:rPr>
          <w:t>http://www.arhiv.mvzt.gov.si/fileadmin/mvzt.gov.si/pageuploads/doc/dokumenti_visokosolstvo/statistika_visokosolstvo/analiza-dodiplomski-vpis_10_11.doc</w:t>
        </w:r>
      </w:hyperlink>
      <w:r w:rsidRPr="007D4016">
        <w:rPr>
          <w:rFonts w:ascii="Times New Roman" w:hAnsi="Times New Roman"/>
          <w:color w:val="000000"/>
          <w:sz w:val="24"/>
          <w:szCs w:val="24"/>
          <w:shd w:val="clear" w:color="auto" w:fill="DDDDDD"/>
          <w:lang w:val="en-US"/>
        </w:rPr>
        <w:t xml:space="preserve"> </w:t>
      </w:r>
    </w:p>
    <w:p w14:paraId="0123058F" w14:textId="77777777" w:rsidR="00C85F37" w:rsidRPr="007D4016" w:rsidRDefault="00C85F37" w:rsidP="00C85F37">
      <w:pPr>
        <w:spacing w:after="240" w:line="240" w:lineRule="auto"/>
        <w:jc w:val="both"/>
        <w:rPr>
          <w:rFonts w:ascii="Times New Roman" w:hAnsi="Times New Roman"/>
          <w:sz w:val="24"/>
          <w:szCs w:val="24"/>
          <w:lang w:val="en-US"/>
        </w:rPr>
      </w:pPr>
      <w:r w:rsidRPr="007D4016">
        <w:rPr>
          <w:rFonts w:ascii="Times New Roman" w:hAnsi="Times New Roman"/>
          <w:sz w:val="24"/>
          <w:szCs w:val="24"/>
          <w:lang w:val="en-US"/>
        </w:rPr>
        <w:t xml:space="preserve">Slovenia. (2011b). Resolucija o Nacionalnem programu visokega šolstva 2011–2020 (ReNPVŠ11-20) [Resolution on National Higher Education Programme 2011-2020]. Ljubljana: National Gazette of Republic of Slovenia. Available at: </w:t>
      </w:r>
      <w:hyperlink r:id="rId35" w:history="1">
        <w:r w:rsidRPr="007D4016">
          <w:rPr>
            <w:rStyle w:val="Hyperlink"/>
            <w:rFonts w:ascii="Times New Roman" w:hAnsi="Times New Roman"/>
            <w:sz w:val="24"/>
            <w:szCs w:val="24"/>
            <w:lang w:val="en-US"/>
          </w:rPr>
          <w:t>http://www.uradni-list.si/1/content?id=103885</w:t>
        </w:r>
      </w:hyperlink>
      <w:r w:rsidRPr="007D4016">
        <w:rPr>
          <w:rFonts w:ascii="Times New Roman" w:hAnsi="Times New Roman"/>
          <w:sz w:val="24"/>
          <w:szCs w:val="24"/>
          <w:lang w:val="en-US"/>
        </w:rPr>
        <w:t xml:space="preserve"> </w:t>
      </w:r>
    </w:p>
    <w:p w14:paraId="3798EC0F" w14:textId="77777777" w:rsidR="00C85F37" w:rsidRPr="007D4016" w:rsidRDefault="00C85F37" w:rsidP="00C85F37">
      <w:pPr>
        <w:spacing w:after="240" w:line="240" w:lineRule="auto"/>
        <w:jc w:val="both"/>
        <w:rPr>
          <w:rFonts w:ascii="Times New Roman" w:hAnsi="Times New Roman"/>
          <w:sz w:val="24"/>
          <w:szCs w:val="24"/>
          <w:lang w:val="en-US"/>
        </w:rPr>
      </w:pPr>
      <w:r w:rsidRPr="007D4016">
        <w:rPr>
          <w:rFonts w:ascii="Times New Roman" w:hAnsi="Times New Roman"/>
          <w:sz w:val="24"/>
          <w:szCs w:val="24"/>
          <w:lang w:val="en-US"/>
        </w:rPr>
        <w:t xml:space="preserve">Slovenia. (2011c). Resolucija o raziskovalni in inovacijski strategiji Slovenije 2011–2020 (ReRIS11-20) [Resolution on research and innovation strategy of Slovenia 2011-2020]. Ljubljana: National Gazette of Republic of Slovenia. Available at:  </w:t>
      </w:r>
      <w:hyperlink r:id="rId36" w:history="1">
        <w:r w:rsidRPr="007D4016">
          <w:rPr>
            <w:rStyle w:val="Hyperlink"/>
            <w:rFonts w:ascii="Times New Roman" w:hAnsi="Times New Roman"/>
            <w:sz w:val="24"/>
            <w:szCs w:val="24"/>
            <w:lang w:val="en-US"/>
          </w:rPr>
          <w:t>http://www.uradni-list.si/1/content?id=103975</w:t>
        </w:r>
      </w:hyperlink>
      <w:r w:rsidRPr="007D4016">
        <w:rPr>
          <w:rFonts w:ascii="Times New Roman" w:hAnsi="Times New Roman"/>
          <w:sz w:val="24"/>
          <w:szCs w:val="24"/>
          <w:lang w:val="en-US"/>
        </w:rPr>
        <w:t xml:space="preserve"> </w:t>
      </w:r>
    </w:p>
    <w:p w14:paraId="00A4BC44" w14:textId="77777777" w:rsidR="005040F6" w:rsidRPr="007D4016" w:rsidRDefault="00C85F37" w:rsidP="005040F6">
      <w:pPr>
        <w:spacing w:after="240" w:line="240" w:lineRule="auto"/>
        <w:jc w:val="both"/>
        <w:rPr>
          <w:rFonts w:ascii="Times New Roman" w:hAnsi="Times New Roman"/>
          <w:sz w:val="24"/>
          <w:szCs w:val="24"/>
          <w:lang w:val="en-US"/>
        </w:rPr>
      </w:pPr>
      <w:r w:rsidRPr="007D4016">
        <w:rPr>
          <w:rFonts w:ascii="Times New Roman" w:hAnsi="Times New Roman"/>
          <w:sz w:val="24"/>
          <w:szCs w:val="24"/>
          <w:lang w:val="en-US"/>
        </w:rPr>
        <w:t>E</w:t>
      </w:r>
      <w:r w:rsidR="005040F6" w:rsidRPr="007D4016">
        <w:rPr>
          <w:rFonts w:ascii="Times New Roman" w:hAnsi="Times New Roman"/>
          <w:sz w:val="24"/>
          <w:szCs w:val="24"/>
          <w:lang w:val="en-US"/>
        </w:rPr>
        <w:t xml:space="preserve">NQA. (2005). European Standards and Guidelines for Quality Assurance in Europe. Brussels: European Association for Quality Assurance in Higher Education.   Available at: </w:t>
      </w:r>
      <w:hyperlink r:id="rId37" w:history="1">
        <w:r w:rsidR="005040F6" w:rsidRPr="007D4016">
          <w:rPr>
            <w:rStyle w:val="Hyperlink"/>
            <w:rFonts w:ascii="Times New Roman" w:hAnsi="Times New Roman"/>
            <w:sz w:val="24"/>
            <w:szCs w:val="24"/>
            <w:lang w:val="en-US"/>
          </w:rPr>
          <w:t>http://www.enqa.eu/index.php/home/esg/</w:t>
        </w:r>
      </w:hyperlink>
      <w:r w:rsidR="005040F6" w:rsidRPr="007D4016">
        <w:rPr>
          <w:rFonts w:ascii="Times New Roman" w:hAnsi="Times New Roman"/>
          <w:sz w:val="24"/>
          <w:szCs w:val="24"/>
          <w:lang w:val="en-US"/>
        </w:rPr>
        <w:t xml:space="preserve"> </w:t>
      </w:r>
    </w:p>
    <w:p w14:paraId="4AD74037" w14:textId="77777777" w:rsidR="005040F6" w:rsidRPr="007D401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World Bank (2013) Western Balkans regional R&amp;D strategy for innovation 2013.</w:t>
      </w:r>
      <w:r w:rsidRPr="007D4016">
        <w:rPr>
          <w:rFonts w:ascii="Times New Roman" w:hAnsi="Times New Roman"/>
          <w:sz w:val="24"/>
          <w:szCs w:val="24"/>
          <w:lang w:val="en-US"/>
        </w:rPr>
        <w:t xml:space="preserve"> </w:t>
      </w:r>
      <w:r w:rsidRPr="007D4016">
        <w:rPr>
          <w:rFonts w:ascii="Times New Roman" w:hAnsi="Times New Roman"/>
          <w:sz w:val="24"/>
          <w:szCs w:val="24"/>
          <w:lang w:val="en-US" w:eastAsia="en-GB"/>
        </w:rPr>
        <w:t>World Bank Technical Assistance Project funded by the European Commission (DG ENLARG – TF011064)</w:t>
      </w:r>
      <w:r w:rsidRPr="007D4016">
        <w:rPr>
          <w:rFonts w:ascii="Times New Roman" w:hAnsi="Times New Roman"/>
          <w:sz w:val="24"/>
          <w:szCs w:val="24"/>
          <w:lang w:val="en-US"/>
        </w:rPr>
        <w:t xml:space="preserve">. Available at: </w:t>
      </w:r>
      <w:hyperlink r:id="rId38" w:anchor="2" w:history="1">
        <w:r w:rsidRPr="007D4016">
          <w:rPr>
            <w:rStyle w:val="Hyperlink"/>
            <w:rFonts w:ascii="Times New Roman" w:hAnsi="Times New Roman"/>
            <w:sz w:val="24"/>
            <w:szCs w:val="24"/>
            <w:lang w:val="en-US" w:eastAsia="en-GB"/>
          </w:rPr>
          <w:t>http://www.worldbank.org/en/events/2013/10/24/balkans-innovation-event#2</w:t>
        </w:r>
      </w:hyperlink>
      <w:r w:rsidRPr="007D4016">
        <w:rPr>
          <w:rFonts w:ascii="Times New Roman" w:hAnsi="Times New Roman"/>
          <w:sz w:val="24"/>
          <w:szCs w:val="24"/>
          <w:lang w:val="en-US" w:eastAsia="en-GB"/>
        </w:rPr>
        <w:t xml:space="preserve"> </w:t>
      </w:r>
    </w:p>
    <w:p w14:paraId="3EC74AB5" w14:textId="77777777" w:rsidR="005040F6" w:rsidRPr="007D4016" w:rsidRDefault="005040F6" w:rsidP="005040F6">
      <w:pPr>
        <w:pStyle w:val="Default"/>
        <w:rPr>
          <w:rFonts w:ascii="Times New Roman" w:hAnsi="Times New Roman" w:cs="Times New Roman"/>
          <w:lang w:val="en-US"/>
        </w:rPr>
      </w:pPr>
    </w:p>
    <w:p w14:paraId="7E89E70E" w14:textId="77777777" w:rsidR="005040F6" w:rsidRPr="007D4016" w:rsidRDefault="005040F6" w:rsidP="005040F6">
      <w:pPr>
        <w:pStyle w:val="Heading2"/>
        <w:rPr>
          <w:rFonts w:ascii="Times New Roman" w:hAnsi="Times New Roman" w:cs="Times New Roman"/>
          <w:b w:val="0"/>
          <w:i/>
          <w:color w:val="000000" w:themeColor="text1"/>
          <w:sz w:val="24"/>
          <w:szCs w:val="24"/>
          <w:lang w:val="en-US"/>
        </w:rPr>
      </w:pPr>
      <w:r w:rsidRPr="007D4016">
        <w:rPr>
          <w:rFonts w:ascii="Times New Roman" w:hAnsi="Times New Roman" w:cs="Times New Roman"/>
          <w:b w:val="0"/>
          <w:i/>
          <w:color w:val="000000" w:themeColor="text1"/>
          <w:sz w:val="24"/>
          <w:szCs w:val="24"/>
          <w:lang w:val="en-US"/>
        </w:rPr>
        <w:t>Secondary sources</w:t>
      </w:r>
    </w:p>
    <w:p w14:paraId="0B71F41B" w14:textId="7F701862" w:rsidR="00264100" w:rsidRPr="007D4016" w:rsidRDefault="00264100" w:rsidP="005040F6">
      <w:pPr>
        <w:spacing w:after="100" w:afterAutospacing="1" w:line="240" w:lineRule="auto"/>
        <w:jc w:val="both"/>
        <w:rPr>
          <w:rFonts w:ascii="Times New Roman" w:eastAsiaTheme="minorHAnsi" w:hAnsi="Times New Roman"/>
          <w:color w:val="000000"/>
          <w:sz w:val="24"/>
          <w:szCs w:val="24"/>
          <w:lang w:val="en-US"/>
        </w:rPr>
      </w:pPr>
      <w:r w:rsidRPr="007D4016">
        <w:rPr>
          <w:rFonts w:ascii="Times New Roman" w:eastAsiaTheme="minorHAnsi" w:hAnsi="Times New Roman"/>
          <w:color w:val="000000"/>
          <w:sz w:val="24"/>
          <w:szCs w:val="24"/>
          <w:lang w:val="en-US"/>
        </w:rPr>
        <w:t>Bassett, R. M. (2014). Montenegro - Higher Education Research for Innovat</w:t>
      </w:r>
      <w:r w:rsidR="00243F2D">
        <w:rPr>
          <w:rFonts w:ascii="Times New Roman" w:eastAsiaTheme="minorHAnsi" w:hAnsi="Times New Roman"/>
          <w:color w:val="000000"/>
          <w:sz w:val="24"/>
          <w:szCs w:val="24"/>
          <w:lang w:val="en-US"/>
        </w:rPr>
        <w:t>ion and Competitiveness Project</w:t>
      </w:r>
      <w:r w:rsidRPr="007D4016">
        <w:rPr>
          <w:rFonts w:ascii="Times New Roman" w:eastAsiaTheme="minorHAnsi" w:hAnsi="Times New Roman"/>
          <w:color w:val="000000"/>
          <w:sz w:val="24"/>
          <w:szCs w:val="24"/>
          <w:lang w:val="en-US"/>
        </w:rPr>
        <w:t>: P122785 - Imple</w:t>
      </w:r>
      <w:r w:rsidR="008F0351">
        <w:rPr>
          <w:rFonts w:ascii="Times New Roman" w:eastAsiaTheme="minorHAnsi" w:hAnsi="Times New Roman"/>
          <w:color w:val="000000"/>
          <w:sz w:val="24"/>
          <w:szCs w:val="24"/>
          <w:lang w:val="en-US"/>
        </w:rPr>
        <w:t>mentation Status Results Report</w:t>
      </w:r>
      <w:r w:rsidRPr="007D4016">
        <w:rPr>
          <w:rFonts w:ascii="Times New Roman" w:eastAsiaTheme="minorHAnsi" w:hAnsi="Times New Roman"/>
          <w:color w:val="000000"/>
          <w:sz w:val="24"/>
          <w:szCs w:val="24"/>
          <w:lang w:val="en-US"/>
        </w:rPr>
        <w:t xml:space="preserve">: Sequence 04. Washington, DC: World Bank. </w:t>
      </w:r>
      <w:hyperlink r:id="rId39" w:history="1">
        <w:r w:rsidRPr="007D4016">
          <w:rPr>
            <w:rStyle w:val="Hyperlink"/>
            <w:rFonts w:ascii="Times New Roman" w:eastAsiaTheme="minorHAnsi" w:hAnsi="Times New Roman"/>
            <w:sz w:val="24"/>
            <w:szCs w:val="24"/>
            <w:lang w:val="en-US"/>
          </w:rPr>
          <w:t>http://documents.worldbank.org/curated/en/2014/01/18750428/montenegro-higher-education-research-innovation-competitiveness-project-p122785-implementation-status-results-report-sequence-04</w:t>
        </w:r>
      </w:hyperlink>
      <w:r w:rsidRPr="007D4016">
        <w:rPr>
          <w:rFonts w:ascii="Times New Roman" w:eastAsiaTheme="minorHAnsi" w:hAnsi="Times New Roman"/>
          <w:color w:val="000000"/>
          <w:sz w:val="24"/>
          <w:szCs w:val="24"/>
          <w:lang w:val="en-US"/>
        </w:rPr>
        <w:t xml:space="preserve"> </w:t>
      </w:r>
    </w:p>
    <w:p w14:paraId="2DAE7891" w14:textId="01226BBD" w:rsidR="005040F6" w:rsidRPr="007D4016" w:rsidRDefault="005040F6" w:rsidP="005040F6">
      <w:pPr>
        <w:spacing w:after="100" w:afterAutospacing="1" w:line="240" w:lineRule="auto"/>
        <w:jc w:val="both"/>
        <w:rPr>
          <w:rFonts w:ascii="Times New Roman" w:hAnsi="Times New Roman"/>
          <w:sz w:val="24"/>
          <w:szCs w:val="24"/>
          <w:shd w:val="clear" w:color="auto" w:fill="FFFFFF"/>
          <w:lang w:val="en-US"/>
        </w:rPr>
      </w:pPr>
      <w:r w:rsidRPr="007D4016">
        <w:rPr>
          <w:rFonts w:ascii="Times New Roman" w:hAnsi="Times New Roman"/>
          <w:sz w:val="24"/>
          <w:szCs w:val="24"/>
          <w:shd w:val="clear" w:color="auto" w:fill="FFFFFF"/>
          <w:lang w:val="en-US"/>
        </w:rPr>
        <w:t xml:space="preserve">Branković, J. (2014). Positioning of </w:t>
      </w:r>
      <w:r w:rsidR="001957BC">
        <w:rPr>
          <w:rFonts w:ascii="Times New Roman" w:hAnsi="Times New Roman"/>
          <w:sz w:val="24"/>
          <w:szCs w:val="24"/>
          <w:shd w:val="clear" w:color="auto" w:fill="FFFFFF"/>
          <w:lang w:val="en-US"/>
        </w:rPr>
        <w:t>p</w:t>
      </w:r>
      <w:r w:rsidRPr="007D4016">
        <w:rPr>
          <w:rFonts w:ascii="Times New Roman" w:hAnsi="Times New Roman"/>
          <w:sz w:val="24"/>
          <w:szCs w:val="24"/>
          <w:shd w:val="clear" w:color="auto" w:fill="FFFFFF"/>
          <w:lang w:val="en-US"/>
        </w:rPr>
        <w:t xml:space="preserve">rivate </w:t>
      </w:r>
      <w:r w:rsidR="001957BC">
        <w:rPr>
          <w:rFonts w:ascii="Times New Roman" w:hAnsi="Times New Roman"/>
          <w:sz w:val="24"/>
          <w:szCs w:val="24"/>
          <w:shd w:val="clear" w:color="auto" w:fill="FFFFFF"/>
          <w:lang w:val="en-US"/>
        </w:rPr>
        <w:t>h</w:t>
      </w:r>
      <w:r w:rsidRPr="007D4016">
        <w:rPr>
          <w:rFonts w:ascii="Times New Roman" w:hAnsi="Times New Roman"/>
          <w:sz w:val="24"/>
          <w:szCs w:val="24"/>
          <w:shd w:val="clear" w:color="auto" w:fill="FFFFFF"/>
          <w:lang w:val="en-US"/>
        </w:rPr>
        <w:t xml:space="preserve">igher </w:t>
      </w:r>
      <w:r w:rsidR="001957BC">
        <w:rPr>
          <w:rFonts w:ascii="Times New Roman" w:hAnsi="Times New Roman"/>
          <w:sz w:val="24"/>
          <w:szCs w:val="24"/>
          <w:shd w:val="clear" w:color="auto" w:fill="FFFFFF"/>
          <w:lang w:val="en-US"/>
        </w:rPr>
        <w:t>e</w:t>
      </w:r>
      <w:r w:rsidRPr="007D4016">
        <w:rPr>
          <w:rFonts w:ascii="Times New Roman" w:hAnsi="Times New Roman"/>
          <w:sz w:val="24"/>
          <w:szCs w:val="24"/>
          <w:shd w:val="clear" w:color="auto" w:fill="FFFFFF"/>
          <w:lang w:val="en-US"/>
        </w:rPr>
        <w:t xml:space="preserve">ducation </w:t>
      </w:r>
      <w:r w:rsidR="001957BC">
        <w:rPr>
          <w:rFonts w:ascii="Times New Roman" w:hAnsi="Times New Roman"/>
          <w:sz w:val="24"/>
          <w:szCs w:val="24"/>
          <w:shd w:val="clear" w:color="auto" w:fill="FFFFFF"/>
          <w:lang w:val="en-US"/>
        </w:rPr>
        <w:t>i</w:t>
      </w:r>
      <w:r w:rsidRPr="007D4016">
        <w:rPr>
          <w:rFonts w:ascii="Times New Roman" w:hAnsi="Times New Roman"/>
          <w:sz w:val="24"/>
          <w:szCs w:val="24"/>
          <w:shd w:val="clear" w:color="auto" w:fill="FFFFFF"/>
          <w:lang w:val="en-US"/>
        </w:rPr>
        <w:t xml:space="preserve">nstitutions in the Western Balkans: Emulation, </w:t>
      </w:r>
      <w:r w:rsidR="001957BC">
        <w:rPr>
          <w:rFonts w:ascii="Times New Roman" w:hAnsi="Times New Roman"/>
          <w:sz w:val="24"/>
          <w:szCs w:val="24"/>
          <w:shd w:val="clear" w:color="auto" w:fill="FFFFFF"/>
          <w:lang w:val="en-US"/>
        </w:rPr>
        <w:t>d</w:t>
      </w:r>
      <w:r w:rsidRPr="007D4016">
        <w:rPr>
          <w:rFonts w:ascii="Times New Roman" w:hAnsi="Times New Roman"/>
          <w:sz w:val="24"/>
          <w:szCs w:val="24"/>
          <w:shd w:val="clear" w:color="auto" w:fill="FFFFFF"/>
          <w:lang w:val="en-US"/>
        </w:rPr>
        <w:t xml:space="preserve">ifferentiation and </w:t>
      </w:r>
      <w:r w:rsidR="001957BC">
        <w:rPr>
          <w:rFonts w:ascii="Times New Roman" w:hAnsi="Times New Roman"/>
          <w:sz w:val="24"/>
          <w:szCs w:val="24"/>
          <w:shd w:val="clear" w:color="auto" w:fill="FFFFFF"/>
          <w:lang w:val="en-US"/>
        </w:rPr>
        <w:t>l</w:t>
      </w:r>
      <w:r w:rsidRPr="007D4016">
        <w:rPr>
          <w:rFonts w:ascii="Times New Roman" w:hAnsi="Times New Roman"/>
          <w:sz w:val="24"/>
          <w:szCs w:val="24"/>
          <w:shd w:val="clear" w:color="auto" w:fill="FFFFFF"/>
          <w:lang w:val="en-US"/>
        </w:rPr>
        <w:t xml:space="preserve">egitimacy </w:t>
      </w:r>
      <w:r w:rsidR="001957BC">
        <w:rPr>
          <w:rFonts w:ascii="Times New Roman" w:hAnsi="Times New Roman"/>
          <w:sz w:val="24"/>
          <w:szCs w:val="24"/>
          <w:shd w:val="clear" w:color="auto" w:fill="FFFFFF"/>
          <w:lang w:val="en-US"/>
        </w:rPr>
        <w:t>b</w:t>
      </w:r>
      <w:r w:rsidRPr="007D4016">
        <w:rPr>
          <w:rFonts w:ascii="Times New Roman" w:hAnsi="Times New Roman"/>
          <w:sz w:val="24"/>
          <w:szCs w:val="24"/>
          <w:shd w:val="clear" w:color="auto" w:fill="FFFFFF"/>
          <w:lang w:val="en-US"/>
        </w:rPr>
        <w:t xml:space="preserve">uilding. In J. Branković, M. Kovačević, P. Maassen, B. Stensaker &amp; M. Vukasović (Eds.), </w:t>
      </w:r>
      <w:r w:rsidRPr="007D4016">
        <w:rPr>
          <w:rFonts w:ascii="Times New Roman" w:hAnsi="Times New Roman"/>
          <w:i/>
          <w:sz w:val="24"/>
          <w:szCs w:val="24"/>
          <w:shd w:val="clear" w:color="auto" w:fill="FFFFFF"/>
          <w:lang w:val="en-US"/>
        </w:rPr>
        <w:t xml:space="preserve">The </w:t>
      </w:r>
      <w:r w:rsidR="001957BC">
        <w:rPr>
          <w:rFonts w:ascii="Times New Roman" w:hAnsi="Times New Roman"/>
          <w:i/>
          <w:sz w:val="24"/>
          <w:szCs w:val="24"/>
          <w:shd w:val="clear" w:color="auto" w:fill="FFFFFF"/>
          <w:lang w:val="en-US"/>
        </w:rPr>
        <w:t>r</w:t>
      </w:r>
      <w:r w:rsidRPr="007D4016">
        <w:rPr>
          <w:rFonts w:ascii="Times New Roman" w:hAnsi="Times New Roman"/>
          <w:i/>
          <w:sz w:val="24"/>
          <w:szCs w:val="24"/>
          <w:shd w:val="clear" w:color="auto" w:fill="FFFFFF"/>
          <w:lang w:val="en-US"/>
        </w:rPr>
        <w:t>e-</w:t>
      </w:r>
      <w:r w:rsidR="001957BC">
        <w:rPr>
          <w:rFonts w:ascii="Times New Roman" w:hAnsi="Times New Roman"/>
          <w:i/>
          <w:sz w:val="24"/>
          <w:szCs w:val="24"/>
          <w:shd w:val="clear" w:color="auto" w:fill="FFFFFF"/>
          <w:lang w:val="en-US"/>
        </w:rPr>
        <w:t>i</w:t>
      </w:r>
      <w:r w:rsidRPr="007D4016">
        <w:rPr>
          <w:rFonts w:ascii="Times New Roman" w:hAnsi="Times New Roman"/>
          <w:i/>
          <w:sz w:val="24"/>
          <w:szCs w:val="24"/>
          <w:shd w:val="clear" w:color="auto" w:fill="FFFFFF"/>
          <w:lang w:val="en-US"/>
        </w:rPr>
        <w:t xml:space="preserve">nstitutionalization of </w:t>
      </w:r>
      <w:r w:rsidR="001957BC">
        <w:rPr>
          <w:rFonts w:ascii="Times New Roman" w:hAnsi="Times New Roman"/>
          <w:i/>
          <w:sz w:val="24"/>
          <w:szCs w:val="24"/>
          <w:shd w:val="clear" w:color="auto" w:fill="FFFFFF"/>
          <w:lang w:val="en-US"/>
        </w:rPr>
        <w:t>h</w:t>
      </w:r>
      <w:r w:rsidRPr="007D4016">
        <w:rPr>
          <w:rFonts w:ascii="Times New Roman" w:hAnsi="Times New Roman"/>
          <w:i/>
          <w:sz w:val="24"/>
          <w:szCs w:val="24"/>
          <w:shd w:val="clear" w:color="auto" w:fill="FFFFFF"/>
          <w:lang w:val="en-US"/>
        </w:rPr>
        <w:t xml:space="preserve">igher </w:t>
      </w:r>
      <w:r w:rsidR="001957BC">
        <w:rPr>
          <w:rFonts w:ascii="Times New Roman" w:hAnsi="Times New Roman"/>
          <w:i/>
          <w:sz w:val="24"/>
          <w:szCs w:val="24"/>
          <w:shd w:val="clear" w:color="auto" w:fill="FFFFFF"/>
          <w:lang w:val="en-US"/>
        </w:rPr>
        <w:t>e</w:t>
      </w:r>
      <w:r w:rsidRPr="007D4016">
        <w:rPr>
          <w:rFonts w:ascii="Times New Roman" w:hAnsi="Times New Roman"/>
          <w:i/>
          <w:sz w:val="24"/>
          <w:szCs w:val="24"/>
          <w:shd w:val="clear" w:color="auto" w:fill="FFFFFF"/>
          <w:lang w:val="en-US"/>
        </w:rPr>
        <w:t>ducation in the Western Balkans</w:t>
      </w:r>
      <w:r w:rsidR="001957BC">
        <w:rPr>
          <w:rFonts w:ascii="Times New Roman" w:hAnsi="Times New Roman"/>
          <w:i/>
          <w:sz w:val="24"/>
          <w:szCs w:val="24"/>
          <w:shd w:val="clear" w:color="auto" w:fill="FFFFFF"/>
          <w:lang w:val="en-US"/>
        </w:rPr>
        <w:t>:</w:t>
      </w:r>
      <w:r w:rsidRPr="007D4016">
        <w:rPr>
          <w:rFonts w:ascii="Times New Roman" w:hAnsi="Times New Roman"/>
          <w:sz w:val="24"/>
          <w:szCs w:val="24"/>
          <w:lang w:val="en-US"/>
        </w:rPr>
        <w:t xml:space="preserve"> </w:t>
      </w:r>
      <w:r w:rsidRPr="007D4016">
        <w:rPr>
          <w:rFonts w:ascii="Times New Roman" w:hAnsi="Times New Roman"/>
          <w:i/>
          <w:sz w:val="24"/>
          <w:szCs w:val="24"/>
          <w:shd w:val="clear" w:color="auto" w:fill="FFFFFF"/>
          <w:lang w:val="en-US"/>
        </w:rPr>
        <w:t xml:space="preserve">The interplay between European ideas, domestic policies, and institutional practices. </w:t>
      </w:r>
      <w:r w:rsidRPr="007D4016">
        <w:rPr>
          <w:rFonts w:ascii="Times New Roman" w:hAnsi="Times New Roman"/>
          <w:sz w:val="24"/>
          <w:szCs w:val="24"/>
          <w:shd w:val="clear" w:color="auto" w:fill="FFFFFF"/>
          <w:lang w:val="en-US"/>
        </w:rPr>
        <w:t>(pp. 121-144). Frankfurt am Main: Peter Lang.</w:t>
      </w:r>
    </w:p>
    <w:p w14:paraId="19541477" w14:textId="3B23D3C5" w:rsidR="005040F6" w:rsidRPr="007D4016" w:rsidRDefault="005040F6" w:rsidP="005040F6">
      <w:pPr>
        <w:spacing w:after="100" w:afterAutospacing="1" w:line="240" w:lineRule="auto"/>
        <w:jc w:val="both"/>
        <w:rPr>
          <w:rFonts w:ascii="Times New Roman" w:hAnsi="Times New Roman"/>
          <w:sz w:val="24"/>
          <w:szCs w:val="24"/>
          <w:shd w:val="clear" w:color="auto" w:fill="FFFFFF"/>
          <w:lang w:val="en-US"/>
        </w:rPr>
      </w:pPr>
      <w:r w:rsidRPr="007D4016">
        <w:rPr>
          <w:rFonts w:ascii="Times New Roman" w:hAnsi="Times New Roman"/>
          <w:sz w:val="24"/>
          <w:szCs w:val="24"/>
          <w:shd w:val="clear" w:color="auto" w:fill="FFFFFF"/>
          <w:lang w:val="en-US"/>
        </w:rPr>
        <w:t>Branković, J., M. Kovačević, P. Maassen</w:t>
      </w:r>
      <w:r w:rsidR="003D0BCD" w:rsidRPr="007D4016">
        <w:rPr>
          <w:rFonts w:ascii="Times New Roman" w:hAnsi="Times New Roman"/>
          <w:sz w:val="24"/>
          <w:szCs w:val="24"/>
          <w:shd w:val="clear" w:color="auto" w:fill="FFFFFF"/>
          <w:lang w:val="en-US"/>
        </w:rPr>
        <w:t>, B. Stensaker &amp; M. Vukasović (E</w:t>
      </w:r>
      <w:r w:rsidRPr="007D4016">
        <w:rPr>
          <w:rFonts w:ascii="Times New Roman" w:hAnsi="Times New Roman"/>
          <w:sz w:val="24"/>
          <w:szCs w:val="24"/>
          <w:shd w:val="clear" w:color="auto" w:fill="FFFFFF"/>
          <w:lang w:val="en-US"/>
        </w:rPr>
        <w:t>ds.)</w:t>
      </w:r>
      <w:r w:rsidR="001957BC">
        <w:rPr>
          <w:rFonts w:ascii="Times New Roman" w:hAnsi="Times New Roman"/>
          <w:sz w:val="24"/>
          <w:szCs w:val="24"/>
          <w:shd w:val="clear" w:color="auto" w:fill="FFFFFF"/>
          <w:lang w:val="en-US"/>
        </w:rPr>
        <w:t>. (2014).</w:t>
      </w:r>
      <w:r w:rsidRPr="007D4016">
        <w:rPr>
          <w:rFonts w:ascii="Times New Roman" w:hAnsi="Times New Roman"/>
          <w:sz w:val="24"/>
          <w:szCs w:val="24"/>
          <w:shd w:val="clear" w:color="auto" w:fill="FFFFFF"/>
          <w:lang w:val="en-US"/>
        </w:rPr>
        <w:t xml:space="preserve"> </w:t>
      </w:r>
      <w:r w:rsidRPr="007D4016">
        <w:rPr>
          <w:rFonts w:ascii="Times New Roman" w:hAnsi="Times New Roman"/>
          <w:i/>
          <w:sz w:val="24"/>
          <w:szCs w:val="24"/>
          <w:shd w:val="clear" w:color="auto" w:fill="FFFFFF"/>
          <w:lang w:val="en-US"/>
        </w:rPr>
        <w:t xml:space="preserve">The </w:t>
      </w:r>
      <w:r w:rsidR="001957BC">
        <w:rPr>
          <w:rFonts w:ascii="Times New Roman" w:hAnsi="Times New Roman"/>
          <w:i/>
          <w:sz w:val="24"/>
          <w:szCs w:val="24"/>
          <w:shd w:val="clear" w:color="auto" w:fill="FFFFFF"/>
          <w:lang w:val="en-US"/>
        </w:rPr>
        <w:t>r</w:t>
      </w:r>
      <w:r w:rsidRPr="007D4016">
        <w:rPr>
          <w:rFonts w:ascii="Times New Roman" w:hAnsi="Times New Roman"/>
          <w:i/>
          <w:sz w:val="24"/>
          <w:szCs w:val="24"/>
          <w:shd w:val="clear" w:color="auto" w:fill="FFFFFF"/>
          <w:lang w:val="en-US"/>
        </w:rPr>
        <w:t>e-</w:t>
      </w:r>
      <w:r w:rsidR="001957BC">
        <w:rPr>
          <w:rFonts w:ascii="Times New Roman" w:hAnsi="Times New Roman"/>
          <w:i/>
          <w:sz w:val="24"/>
          <w:szCs w:val="24"/>
          <w:shd w:val="clear" w:color="auto" w:fill="FFFFFF"/>
          <w:lang w:val="en-US"/>
        </w:rPr>
        <w:t>i</w:t>
      </w:r>
      <w:r w:rsidRPr="007D4016">
        <w:rPr>
          <w:rFonts w:ascii="Times New Roman" w:hAnsi="Times New Roman"/>
          <w:i/>
          <w:sz w:val="24"/>
          <w:szCs w:val="24"/>
          <w:shd w:val="clear" w:color="auto" w:fill="FFFFFF"/>
          <w:lang w:val="en-US"/>
        </w:rPr>
        <w:t xml:space="preserve">nstitutionalization of </w:t>
      </w:r>
      <w:r w:rsidR="001957BC">
        <w:rPr>
          <w:rFonts w:ascii="Times New Roman" w:hAnsi="Times New Roman"/>
          <w:i/>
          <w:sz w:val="24"/>
          <w:szCs w:val="24"/>
          <w:shd w:val="clear" w:color="auto" w:fill="FFFFFF"/>
          <w:lang w:val="en-US"/>
        </w:rPr>
        <w:t>h</w:t>
      </w:r>
      <w:r w:rsidRPr="007D4016">
        <w:rPr>
          <w:rFonts w:ascii="Times New Roman" w:hAnsi="Times New Roman"/>
          <w:i/>
          <w:sz w:val="24"/>
          <w:szCs w:val="24"/>
          <w:shd w:val="clear" w:color="auto" w:fill="FFFFFF"/>
          <w:lang w:val="en-US"/>
        </w:rPr>
        <w:t xml:space="preserve">igher </w:t>
      </w:r>
      <w:r w:rsidR="001957BC">
        <w:rPr>
          <w:rFonts w:ascii="Times New Roman" w:hAnsi="Times New Roman"/>
          <w:i/>
          <w:sz w:val="24"/>
          <w:szCs w:val="24"/>
          <w:shd w:val="clear" w:color="auto" w:fill="FFFFFF"/>
          <w:lang w:val="en-US"/>
        </w:rPr>
        <w:t>e</w:t>
      </w:r>
      <w:r w:rsidRPr="007D4016">
        <w:rPr>
          <w:rFonts w:ascii="Times New Roman" w:hAnsi="Times New Roman"/>
          <w:i/>
          <w:sz w:val="24"/>
          <w:szCs w:val="24"/>
          <w:shd w:val="clear" w:color="auto" w:fill="FFFFFF"/>
          <w:lang w:val="en-US"/>
        </w:rPr>
        <w:t>ducation in the Western Balkans</w:t>
      </w:r>
      <w:r w:rsidR="001957BC">
        <w:rPr>
          <w:rFonts w:ascii="Times New Roman" w:hAnsi="Times New Roman"/>
          <w:i/>
          <w:sz w:val="24"/>
          <w:szCs w:val="24"/>
          <w:shd w:val="clear" w:color="auto" w:fill="FFFFFF"/>
          <w:lang w:val="en-US"/>
        </w:rPr>
        <w:t>:</w:t>
      </w:r>
      <w:r w:rsidRPr="007D4016">
        <w:rPr>
          <w:rFonts w:ascii="Times New Roman" w:hAnsi="Times New Roman"/>
          <w:i/>
          <w:sz w:val="24"/>
          <w:szCs w:val="24"/>
          <w:shd w:val="clear" w:color="auto" w:fill="FFFFFF"/>
          <w:lang w:val="en-US"/>
        </w:rPr>
        <w:t xml:space="preserve"> The interplay between European ideas, domestic policies, and institutional practices. </w:t>
      </w:r>
      <w:r w:rsidRPr="007D4016">
        <w:rPr>
          <w:rFonts w:ascii="Times New Roman" w:hAnsi="Times New Roman"/>
          <w:sz w:val="24"/>
          <w:szCs w:val="24"/>
          <w:shd w:val="clear" w:color="auto" w:fill="FFFFFF"/>
          <w:lang w:val="en-US"/>
        </w:rPr>
        <w:t>Frankfurt am Main: Peter Lang.</w:t>
      </w:r>
    </w:p>
    <w:p w14:paraId="49A1DF23" w14:textId="6ECEA445" w:rsidR="00FC0EED" w:rsidRPr="00FC0EED" w:rsidRDefault="00FC0EED" w:rsidP="00FC0EED">
      <w:pPr>
        <w:spacing w:after="100" w:afterAutospacing="1" w:line="240" w:lineRule="auto"/>
        <w:jc w:val="both"/>
        <w:rPr>
          <w:rFonts w:ascii="Times New Roman" w:hAnsi="Times New Roman"/>
          <w:sz w:val="24"/>
          <w:szCs w:val="24"/>
          <w:lang w:val="en-US" w:eastAsia="en-GB"/>
        </w:rPr>
      </w:pPr>
      <w:r w:rsidRPr="00FC0EED">
        <w:rPr>
          <w:rFonts w:ascii="Times New Roman" w:hAnsi="Times New Roman"/>
          <w:sz w:val="24"/>
          <w:szCs w:val="24"/>
          <w:lang w:val="en-US" w:eastAsia="en-GB"/>
        </w:rPr>
        <w:t xml:space="preserve">Brown, R., ed. (2011). </w:t>
      </w:r>
      <w:r w:rsidRPr="00FC0EED">
        <w:rPr>
          <w:rFonts w:ascii="Times New Roman" w:hAnsi="Times New Roman"/>
          <w:i/>
          <w:sz w:val="24"/>
          <w:szCs w:val="24"/>
          <w:lang w:val="en-US" w:eastAsia="en-GB"/>
        </w:rPr>
        <w:t xml:space="preserve">Higher </w:t>
      </w:r>
      <w:r w:rsidR="001957BC">
        <w:rPr>
          <w:rFonts w:ascii="Times New Roman" w:hAnsi="Times New Roman"/>
          <w:i/>
          <w:sz w:val="24"/>
          <w:szCs w:val="24"/>
          <w:lang w:val="en-US" w:eastAsia="en-GB"/>
        </w:rPr>
        <w:t>e</w:t>
      </w:r>
      <w:r w:rsidRPr="00FC0EED">
        <w:rPr>
          <w:rFonts w:ascii="Times New Roman" w:hAnsi="Times New Roman"/>
          <w:i/>
          <w:sz w:val="24"/>
          <w:szCs w:val="24"/>
          <w:lang w:val="en-US" w:eastAsia="en-GB"/>
        </w:rPr>
        <w:t xml:space="preserve">ducation and the </w:t>
      </w:r>
      <w:r w:rsidR="001957BC">
        <w:rPr>
          <w:rFonts w:ascii="Times New Roman" w:hAnsi="Times New Roman"/>
          <w:i/>
          <w:sz w:val="24"/>
          <w:szCs w:val="24"/>
          <w:lang w:val="en-US" w:eastAsia="en-GB"/>
        </w:rPr>
        <w:t>m</w:t>
      </w:r>
      <w:r w:rsidRPr="00FC0EED">
        <w:rPr>
          <w:rFonts w:ascii="Times New Roman" w:hAnsi="Times New Roman"/>
          <w:i/>
          <w:sz w:val="24"/>
          <w:szCs w:val="24"/>
          <w:lang w:val="en-US" w:eastAsia="en-GB"/>
        </w:rPr>
        <w:t>arket</w:t>
      </w:r>
      <w:r w:rsidRPr="00FC0EED">
        <w:rPr>
          <w:rFonts w:ascii="Times New Roman" w:hAnsi="Times New Roman"/>
          <w:sz w:val="24"/>
          <w:szCs w:val="24"/>
          <w:lang w:val="en-US" w:eastAsia="en-GB"/>
        </w:rPr>
        <w:t>. New York: Routledge.</w:t>
      </w:r>
    </w:p>
    <w:p w14:paraId="61FA2D9C" w14:textId="6116D36A" w:rsidR="005040F6" w:rsidRPr="007D401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iCs/>
          <w:sz w:val="24"/>
          <w:szCs w:val="24"/>
          <w:lang w:val="en-US" w:eastAsia="en-GB"/>
        </w:rPr>
        <w:t>Dolenec, D. and Doolan</w:t>
      </w:r>
      <w:r w:rsidR="001957BC">
        <w:rPr>
          <w:rFonts w:ascii="Times New Roman" w:hAnsi="Times New Roman"/>
          <w:iCs/>
          <w:sz w:val="24"/>
          <w:szCs w:val="24"/>
          <w:lang w:val="en-US" w:eastAsia="en-GB"/>
        </w:rPr>
        <w:t>, K.</w:t>
      </w:r>
      <w:r w:rsidRPr="007D4016">
        <w:rPr>
          <w:rFonts w:ascii="Times New Roman" w:hAnsi="Times New Roman"/>
          <w:iCs/>
          <w:sz w:val="24"/>
          <w:szCs w:val="24"/>
          <w:lang w:val="en-US" w:eastAsia="en-GB"/>
        </w:rPr>
        <w:t xml:space="preserve"> (2013). </w:t>
      </w:r>
      <w:r w:rsidRPr="007D4016">
        <w:rPr>
          <w:rFonts w:ascii="Times New Roman" w:hAnsi="Times New Roman"/>
          <w:sz w:val="24"/>
          <w:szCs w:val="24"/>
          <w:lang w:val="en-US" w:eastAsia="en-GB"/>
        </w:rPr>
        <w:t xml:space="preserve">Reclaiming the </w:t>
      </w:r>
      <w:r w:rsidR="001957BC">
        <w:rPr>
          <w:rFonts w:ascii="Times New Roman" w:hAnsi="Times New Roman"/>
          <w:sz w:val="24"/>
          <w:szCs w:val="24"/>
          <w:lang w:val="en-US" w:eastAsia="en-GB"/>
        </w:rPr>
        <w:t>r</w:t>
      </w:r>
      <w:r w:rsidRPr="007D4016">
        <w:rPr>
          <w:rFonts w:ascii="Times New Roman" w:hAnsi="Times New Roman"/>
          <w:sz w:val="24"/>
          <w:szCs w:val="24"/>
          <w:lang w:val="en-US" w:eastAsia="en-GB"/>
        </w:rPr>
        <w:t xml:space="preserve">ole of </w:t>
      </w:r>
      <w:r w:rsidR="001957BC">
        <w:rPr>
          <w:rFonts w:ascii="Times New Roman" w:hAnsi="Times New Roman"/>
          <w:sz w:val="24"/>
          <w:szCs w:val="24"/>
          <w:lang w:val="en-US" w:eastAsia="en-GB"/>
        </w:rPr>
        <w:t>h</w:t>
      </w:r>
      <w:r w:rsidRPr="007D4016">
        <w:rPr>
          <w:rFonts w:ascii="Times New Roman" w:hAnsi="Times New Roman"/>
          <w:sz w:val="24"/>
          <w:szCs w:val="24"/>
          <w:lang w:val="en-US" w:eastAsia="en-GB"/>
        </w:rPr>
        <w:t xml:space="preserve">igher </w:t>
      </w:r>
      <w:r w:rsidR="001957BC">
        <w:rPr>
          <w:rFonts w:ascii="Times New Roman" w:hAnsi="Times New Roman"/>
          <w:sz w:val="24"/>
          <w:szCs w:val="24"/>
          <w:lang w:val="en-US" w:eastAsia="en-GB"/>
        </w:rPr>
        <w:t>e</w:t>
      </w:r>
      <w:r w:rsidRPr="007D4016">
        <w:rPr>
          <w:rFonts w:ascii="Times New Roman" w:hAnsi="Times New Roman"/>
          <w:sz w:val="24"/>
          <w:szCs w:val="24"/>
          <w:lang w:val="en-US" w:eastAsia="en-GB"/>
        </w:rPr>
        <w:t xml:space="preserve">ducation in Croatia: Dominant and </w:t>
      </w:r>
      <w:r w:rsidR="001957BC">
        <w:rPr>
          <w:rFonts w:ascii="Times New Roman" w:hAnsi="Times New Roman"/>
          <w:sz w:val="24"/>
          <w:szCs w:val="24"/>
          <w:lang w:val="en-US" w:eastAsia="en-GB"/>
        </w:rPr>
        <w:t>o</w:t>
      </w:r>
      <w:r w:rsidRPr="007D4016">
        <w:rPr>
          <w:rFonts w:ascii="Times New Roman" w:hAnsi="Times New Roman"/>
          <w:sz w:val="24"/>
          <w:szCs w:val="24"/>
          <w:lang w:val="en-US" w:eastAsia="en-GB"/>
        </w:rPr>
        <w:t xml:space="preserve">ppositional </w:t>
      </w:r>
      <w:r w:rsidR="001957BC">
        <w:rPr>
          <w:rFonts w:ascii="Times New Roman" w:hAnsi="Times New Roman"/>
          <w:sz w:val="24"/>
          <w:szCs w:val="24"/>
          <w:lang w:val="en-US" w:eastAsia="en-GB"/>
        </w:rPr>
        <w:t>f</w:t>
      </w:r>
      <w:r w:rsidRPr="007D4016">
        <w:rPr>
          <w:rFonts w:ascii="Times New Roman" w:hAnsi="Times New Roman"/>
          <w:sz w:val="24"/>
          <w:szCs w:val="24"/>
          <w:lang w:val="en-US" w:eastAsia="en-GB"/>
        </w:rPr>
        <w:t xml:space="preserve">ramings.  </w:t>
      </w:r>
      <w:r w:rsidRPr="007D4016">
        <w:rPr>
          <w:rFonts w:ascii="Times New Roman" w:hAnsi="Times New Roman"/>
          <w:sz w:val="24"/>
          <w:szCs w:val="24"/>
          <w:shd w:val="clear" w:color="auto" w:fill="FFFFFF"/>
          <w:lang w:val="en-US"/>
        </w:rPr>
        <w:t>In Zgaga, P.,</w:t>
      </w:r>
      <w:r w:rsidR="003D0BCD" w:rsidRPr="007D4016">
        <w:rPr>
          <w:rFonts w:ascii="Times New Roman" w:hAnsi="Times New Roman"/>
          <w:sz w:val="24"/>
          <w:szCs w:val="24"/>
          <w:shd w:val="clear" w:color="auto" w:fill="FFFFFF"/>
          <w:lang w:val="en-US"/>
        </w:rPr>
        <w:t xml:space="preserve"> Teichler, U. and Brennan, J. (E</w:t>
      </w:r>
      <w:r w:rsidRPr="007D4016">
        <w:rPr>
          <w:rFonts w:ascii="Times New Roman" w:hAnsi="Times New Roman"/>
          <w:sz w:val="24"/>
          <w:szCs w:val="24"/>
          <w:shd w:val="clear" w:color="auto" w:fill="FFFFFF"/>
          <w:lang w:val="en-US"/>
        </w:rPr>
        <w:t>ds</w:t>
      </w:r>
      <w:r w:rsidR="003D0BCD" w:rsidRPr="007D4016">
        <w:rPr>
          <w:rFonts w:ascii="Times New Roman" w:hAnsi="Times New Roman"/>
          <w:sz w:val="24"/>
          <w:szCs w:val="24"/>
          <w:shd w:val="clear" w:color="auto" w:fill="FFFFFF"/>
          <w:lang w:val="en-US"/>
        </w:rPr>
        <w:t>.</w:t>
      </w:r>
      <w:r w:rsidRPr="007D4016">
        <w:rPr>
          <w:rFonts w:ascii="Times New Roman" w:hAnsi="Times New Roman"/>
          <w:sz w:val="24"/>
          <w:szCs w:val="24"/>
          <w:shd w:val="clear" w:color="auto" w:fill="FFFFFF"/>
          <w:lang w:val="en-US"/>
        </w:rPr>
        <w:t>)</w:t>
      </w:r>
      <w:r w:rsidR="001957BC">
        <w:rPr>
          <w:rFonts w:ascii="Times New Roman" w:hAnsi="Times New Roman"/>
          <w:sz w:val="24"/>
          <w:szCs w:val="24"/>
          <w:shd w:val="clear" w:color="auto" w:fill="FFFFFF"/>
          <w:lang w:val="en-US"/>
        </w:rPr>
        <w:t>,</w:t>
      </w:r>
      <w:r w:rsidRPr="007D4016">
        <w:rPr>
          <w:rFonts w:ascii="Times New Roman" w:hAnsi="Times New Roman"/>
          <w:sz w:val="24"/>
          <w:szCs w:val="24"/>
          <w:shd w:val="clear" w:color="auto" w:fill="FFFFFF"/>
          <w:lang w:val="en-US"/>
        </w:rPr>
        <w:t xml:space="preserve"> </w:t>
      </w:r>
      <w:r w:rsidRPr="007D4016">
        <w:rPr>
          <w:rStyle w:val="Emphasis"/>
          <w:rFonts w:ascii="Times New Roman" w:hAnsi="Times New Roman"/>
          <w:sz w:val="24"/>
          <w:szCs w:val="24"/>
          <w:shd w:val="clear" w:color="auto" w:fill="FFFFFF"/>
          <w:lang w:val="en-US"/>
        </w:rPr>
        <w:t>The globalisation challenge for European Higher Education: Convergence and diversity, centres and peripheries (</w:t>
      </w:r>
      <w:r w:rsidRPr="007D4016">
        <w:rPr>
          <w:rFonts w:ascii="Times New Roman" w:hAnsi="Times New Roman"/>
          <w:sz w:val="24"/>
          <w:szCs w:val="24"/>
          <w:shd w:val="clear" w:color="auto" w:fill="FFFFFF"/>
          <w:lang w:val="en-US"/>
        </w:rPr>
        <w:t>pp.</w:t>
      </w:r>
      <w:r w:rsidRPr="007D4016">
        <w:rPr>
          <w:rFonts w:ascii="Times New Roman" w:hAnsi="Times New Roman"/>
          <w:sz w:val="24"/>
          <w:szCs w:val="24"/>
          <w:lang w:val="en-US" w:eastAsia="en-GB"/>
        </w:rPr>
        <w:t xml:space="preserve"> 325-346).</w:t>
      </w:r>
      <w:r w:rsidRPr="007D4016">
        <w:rPr>
          <w:rFonts w:ascii="Times New Roman" w:hAnsi="Times New Roman"/>
          <w:sz w:val="24"/>
          <w:szCs w:val="24"/>
          <w:shd w:val="clear" w:color="auto" w:fill="FFFFFF"/>
          <w:lang w:val="en-US"/>
        </w:rPr>
        <w:t xml:space="preserve"> Frankfurt: Peter Lang</w:t>
      </w:r>
      <w:r w:rsidRPr="007D4016">
        <w:rPr>
          <w:rFonts w:ascii="Times New Roman" w:hAnsi="Times New Roman"/>
          <w:sz w:val="24"/>
          <w:szCs w:val="24"/>
          <w:lang w:val="en-US" w:eastAsia="en-GB"/>
        </w:rPr>
        <w:t>.</w:t>
      </w:r>
    </w:p>
    <w:p w14:paraId="55B4A917" w14:textId="208BD494" w:rsidR="005040F6" w:rsidRPr="007D4016" w:rsidRDefault="005040F6" w:rsidP="005040F6">
      <w:pPr>
        <w:autoSpaceDE w:val="0"/>
        <w:autoSpaceDN w:val="0"/>
        <w:adjustRightInd w:val="0"/>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Enders, J. &amp; Jongbloed, B.  (2007). The </w:t>
      </w:r>
      <w:r w:rsidR="006D62DC">
        <w:rPr>
          <w:rFonts w:ascii="Times New Roman" w:hAnsi="Times New Roman"/>
          <w:sz w:val="24"/>
          <w:szCs w:val="24"/>
          <w:lang w:val="en-US" w:eastAsia="en-GB"/>
        </w:rPr>
        <w:t>p</w:t>
      </w:r>
      <w:r w:rsidRPr="007D4016">
        <w:rPr>
          <w:rFonts w:ascii="Times New Roman" w:hAnsi="Times New Roman"/>
          <w:sz w:val="24"/>
          <w:szCs w:val="24"/>
          <w:lang w:val="en-US" w:eastAsia="en-GB"/>
        </w:rPr>
        <w:t xml:space="preserve">ublic, the </w:t>
      </w:r>
      <w:r w:rsidR="006D62DC">
        <w:rPr>
          <w:rFonts w:ascii="Times New Roman" w:hAnsi="Times New Roman"/>
          <w:sz w:val="24"/>
          <w:szCs w:val="24"/>
          <w:lang w:val="en-US" w:eastAsia="en-GB"/>
        </w:rPr>
        <w:t>p</w:t>
      </w:r>
      <w:r w:rsidRPr="007D4016">
        <w:rPr>
          <w:rFonts w:ascii="Times New Roman" w:hAnsi="Times New Roman"/>
          <w:sz w:val="24"/>
          <w:szCs w:val="24"/>
          <w:lang w:val="en-US" w:eastAsia="en-GB"/>
        </w:rPr>
        <w:t xml:space="preserve">rivate and the </w:t>
      </w:r>
      <w:r w:rsidR="006D62DC">
        <w:rPr>
          <w:rFonts w:ascii="Times New Roman" w:hAnsi="Times New Roman"/>
          <w:sz w:val="24"/>
          <w:szCs w:val="24"/>
          <w:lang w:val="en-US" w:eastAsia="en-GB"/>
        </w:rPr>
        <w:t>g</w:t>
      </w:r>
      <w:r w:rsidRPr="007D4016">
        <w:rPr>
          <w:rFonts w:ascii="Times New Roman" w:hAnsi="Times New Roman"/>
          <w:sz w:val="24"/>
          <w:szCs w:val="24"/>
          <w:lang w:val="en-US" w:eastAsia="en-GB"/>
        </w:rPr>
        <w:t xml:space="preserve">ood in </w:t>
      </w:r>
      <w:r w:rsidR="006D62DC">
        <w:rPr>
          <w:rFonts w:ascii="Times New Roman" w:hAnsi="Times New Roman"/>
          <w:sz w:val="24"/>
          <w:szCs w:val="24"/>
          <w:lang w:val="en-US" w:eastAsia="en-GB"/>
        </w:rPr>
        <w:t>h</w:t>
      </w:r>
      <w:r w:rsidRPr="007D4016">
        <w:rPr>
          <w:rFonts w:ascii="Times New Roman" w:hAnsi="Times New Roman"/>
          <w:sz w:val="24"/>
          <w:szCs w:val="24"/>
          <w:lang w:val="en-US" w:eastAsia="en-GB"/>
        </w:rPr>
        <w:t xml:space="preserve">igher </w:t>
      </w:r>
      <w:r w:rsidR="006D62DC">
        <w:rPr>
          <w:rFonts w:ascii="Times New Roman" w:hAnsi="Times New Roman"/>
          <w:sz w:val="24"/>
          <w:szCs w:val="24"/>
          <w:lang w:val="en-US" w:eastAsia="en-GB"/>
        </w:rPr>
        <w:t>e</w:t>
      </w:r>
      <w:r w:rsidR="00B56A12">
        <w:rPr>
          <w:rFonts w:ascii="Times New Roman" w:hAnsi="Times New Roman"/>
          <w:sz w:val="24"/>
          <w:szCs w:val="24"/>
          <w:lang w:val="en-US" w:eastAsia="en-GB"/>
        </w:rPr>
        <w:t xml:space="preserve">ducation and </w:t>
      </w:r>
      <w:r w:rsidR="006D62DC">
        <w:rPr>
          <w:rFonts w:ascii="Times New Roman" w:hAnsi="Times New Roman"/>
          <w:sz w:val="24"/>
          <w:szCs w:val="24"/>
          <w:lang w:val="en-US" w:eastAsia="en-GB"/>
        </w:rPr>
        <w:t>r</w:t>
      </w:r>
      <w:r w:rsidRPr="007D4016">
        <w:rPr>
          <w:rFonts w:ascii="Times New Roman" w:hAnsi="Times New Roman"/>
          <w:sz w:val="24"/>
          <w:szCs w:val="24"/>
          <w:lang w:val="en-US" w:eastAsia="en-GB"/>
        </w:rPr>
        <w:t xml:space="preserve">esearch: An </w:t>
      </w:r>
      <w:r w:rsidR="006D62DC">
        <w:rPr>
          <w:rFonts w:ascii="Times New Roman" w:hAnsi="Times New Roman"/>
          <w:sz w:val="24"/>
          <w:szCs w:val="24"/>
          <w:lang w:val="en-US" w:eastAsia="en-GB"/>
        </w:rPr>
        <w:t>i</w:t>
      </w:r>
      <w:r w:rsidRPr="007D4016">
        <w:rPr>
          <w:rFonts w:ascii="Times New Roman" w:hAnsi="Times New Roman"/>
          <w:sz w:val="24"/>
          <w:szCs w:val="24"/>
          <w:lang w:val="en-US" w:eastAsia="en-GB"/>
        </w:rPr>
        <w:t xml:space="preserve">ntroduction. </w:t>
      </w:r>
      <w:r w:rsidR="003D0BCD" w:rsidRPr="007D4016">
        <w:rPr>
          <w:rFonts w:ascii="Times New Roman" w:hAnsi="Times New Roman"/>
          <w:sz w:val="24"/>
          <w:szCs w:val="24"/>
          <w:lang w:val="en-US" w:eastAsia="en-GB"/>
        </w:rPr>
        <w:t>In Enders, J. &amp; Jongbloed, B. (E</w:t>
      </w:r>
      <w:r w:rsidRPr="007D4016">
        <w:rPr>
          <w:rFonts w:ascii="Times New Roman" w:hAnsi="Times New Roman"/>
          <w:sz w:val="24"/>
          <w:szCs w:val="24"/>
          <w:lang w:val="en-US" w:eastAsia="en-GB"/>
        </w:rPr>
        <w:t>ds.)</w:t>
      </w:r>
      <w:r w:rsidR="006D62DC">
        <w:rPr>
          <w:rFonts w:ascii="Times New Roman" w:hAnsi="Times New Roman"/>
          <w:sz w:val="24"/>
          <w:szCs w:val="24"/>
          <w:lang w:val="en-US" w:eastAsia="en-GB"/>
        </w:rPr>
        <w:t>,</w:t>
      </w:r>
      <w:r w:rsidRPr="007D4016">
        <w:rPr>
          <w:rFonts w:ascii="Times New Roman" w:hAnsi="Times New Roman"/>
          <w:sz w:val="24"/>
          <w:szCs w:val="24"/>
          <w:lang w:val="en-US" w:eastAsia="en-GB"/>
        </w:rPr>
        <w:t xml:space="preserve"> </w:t>
      </w:r>
      <w:r w:rsidRPr="007D4016">
        <w:rPr>
          <w:rFonts w:ascii="Times New Roman" w:hAnsi="Times New Roman"/>
          <w:i/>
          <w:sz w:val="24"/>
          <w:szCs w:val="24"/>
          <w:lang w:val="en-US" w:eastAsia="en-GB"/>
        </w:rPr>
        <w:t>Public-</w:t>
      </w:r>
      <w:r w:rsidR="006D62DC">
        <w:rPr>
          <w:rFonts w:ascii="Times New Roman" w:hAnsi="Times New Roman"/>
          <w:i/>
          <w:sz w:val="24"/>
          <w:szCs w:val="24"/>
          <w:lang w:val="en-US" w:eastAsia="en-GB"/>
        </w:rPr>
        <w:t>p</w:t>
      </w:r>
      <w:r w:rsidRPr="007D4016">
        <w:rPr>
          <w:rFonts w:ascii="Times New Roman" w:hAnsi="Times New Roman"/>
          <w:i/>
          <w:sz w:val="24"/>
          <w:szCs w:val="24"/>
          <w:lang w:val="en-US" w:eastAsia="en-GB"/>
        </w:rPr>
        <w:t xml:space="preserve">rivate </w:t>
      </w:r>
      <w:r w:rsidR="006D62DC">
        <w:rPr>
          <w:rFonts w:ascii="Times New Roman" w:hAnsi="Times New Roman"/>
          <w:i/>
          <w:sz w:val="24"/>
          <w:szCs w:val="24"/>
          <w:lang w:val="en-US" w:eastAsia="en-GB"/>
        </w:rPr>
        <w:t>d</w:t>
      </w:r>
      <w:r w:rsidRPr="007D4016">
        <w:rPr>
          <w:rFonts w:ascii="Times New Roman" w:hAnsi="Times New Roman"/>
          <w:i/>
          <w:sz w:val="24"/>
          <w:szCs w:val="24"/>
          <w:lang w:val="en-US" w:eastAsia="en-GB"/>
        </w:rPr>
        <w:t>ynamics in</w:t>
      </w:r>
      <w:r w:rsidR="006D62DC">
        <w:rPr>
          <w:rFonts w:ascii="Times New Roman" w:hAnsi="Times New Roman"/>
          <w:i/>
          <w:sz w:val="24"/>
          <w:szCs w:val="24"/>
          <w:lang w:val="en-US" w:eastAsia="en-GB"/>
        </w:rPr>
        <w:t xml:space="preserve"> h</w:t>
      </w:r>
      <w:r w:rsidRPr="007D4016">
        <w:rPr>
          <w:rFonts w:ascii="Times New Roman" w:hAnsi="Times New Roman"/>
          <w:i/>
          <w:sz w:val="24"/>
          <w:szCs w:val="24"/>
          <w:lang w:val="en-US" w:eastAsia="en-GB"/>
        </w:rPr>
        <w:t xml:space="preserve">igher </w:t>
      </w:r>
      <w:r w:rsidR="006D62DC">
        <w:rPr>
          <w:rFonts w:ascii="Times New Roman" w:hAnsi="Times New Roman"/>
          <w:i/>
          <w:sz w:val="24"/>
          <w:szCs w:val="24"/>
          <w:lang w:val="en-US" w:eastAsia="en-GB"/>
        </w:rPr>
        <w:t>e</w:t>
      </w:r>
      <w:r w:rsidRPr="007D4016">
        <w:rPr>
          <w:rFonts w:ascii="Times New Roman" w:hAnsi="Times New Roman"/>
          <w:i/>
          <w:sz w:val="24"/>
          <w:szCs w:val="24"/>
          <w:lang w:val="en-US" w:eastAsia="en-GB"/>
        </w:rPr>
        <w:t>ducation</w:t>
      </w:r>
      <w:r w:rsidR="006D62DC">
        <w:rPr>
          <w:rFonts w:ascii="Times New Roman" w:hAnsi="Times New Roman"/>
          <w:i/>
          <w:sz w:val="24"/>
          <w:szCs w:val="24"/>
          <w:lang w:val="en-US" w:eastAsia="en-GB"/>
        </w:rPr>
        <w:t>: E</w:t>
      </w:r>
      <w:r w:rsidRPr="007D4016">
        <w:rPr>
          <w:rFonts w:ascii="Times New Roman" w:hAnsi="Times New Roman"/>
          <w:i/>
          <w:sz w:val="24"/>
          <w:szCs w:val="24"/>
          <w:lang w:val="en-US" w:eastAsia="en-GB"/>
        </w:rPr>
        <w:t xml:space="preserve">xpectations, </w:t>
      </w:r>
      <w:r w:rsidR="006D62DC">
        <w:rPr>
          <w:rFonts w:ascii="Times New Roman" w:hAnsi="Times New Roman"/>
          <w:i/>
          <w:sz w:val="24"/>
          <w:szCs w:val="24"/>
          <w:lang w:val="en-US" w:eastAsia="en-GB"/>
        </w:rPr>
        <w:t>d</w:t>
      </w:r>
      <w:r w:rsidRPr="007D4016">
        <w:rPr>
          <w:rFonts w:ascii="Times New Roman" w:hAnsi="Times New Roman"/>
          <w:i/>
          <w:sz w:val="24"/>
          <w:szCs w:val="24"/>
          <w:lang w:val="en-US" w:eastAsia="en-GB"/>
        </w:rPr>
        <w:t xml:space="preserve">evelopments and </w:t>
      </w:r>
      <w:r w:rsidR="006D62DC">
        <w:rPr>
          <w:rFonts w:ascii="Times New Roman" w:hAnsi="Times New Roman"/>
          <w:i/>
          <w:sz w:val="24"/>
          <w:szCs w:val="24"/>
          <w:lang w:val="en-US" w:eastAsia="en-GB"/>
        </w:rPr>
        <w:t>o</w:t>
      </w:r>
      <w:r w:rsidRPr="007D4016">
        <w:rPr>
          <w:rFonts w:ascii="Times New Roman" w:hAnsi="Times New Roman"/>
          <w:i/>
          <w:sz w:val="24"/>
          <w:szCs w:val="24"/>
          <w:lang w:val="en-US" w:eastAsia="en-GB"/>
        </w:rPr>
        <w:t>utcomes.</w:t>
      </w:r>
      <w:r w:rsidRPr="007D4016">
        <w:rPr>
          <w:rFonts w:ascii="Times New Roman" w:hAnsi="Times New Roman"/>
          <w:sz w:val="24"/>
          <w:szCs w:val="24"/>
          <w:lang w:val="en-US" w:eastAsia="en-GB"/>
        </w:rPr>
        <w:t xml:space="preserve"> Bielefeld: </w:t>
      </w:r>
      <w:r w:rsidR="006D62DC">
        <w:rPr>
          <w:rFonts w:ascii="Times New Roman" w:hAnsi="Times New Roman"/>
          <w:sz w:val="24"/>
          <w:szCs w:val="24"/>
          <w:lang w:val="en-US" w:eastAsia="en-GB"/>
        </w:rPr>
        <w:t>T</w:t>
      </w:r>
      <w:r w:rsidRPr="007D4016">
        <w:rPr>
          <w:rFonts w:ascii="Times New Roman" w:hAnsi="Times New Roman"/>
          <w:sz w:val="24"/>
          <w:szCs w:val="24"/>
          <w:lang w:val="en-US" w:eastAsia="en-GB"/>
        </w:rPr>
        <w:t xml:space="preserve">ranscript Verlag. </w:t>
      </w:r>
    </w:p>
    <w:p w14:paraId="0EC7B505" w14:textId="47F0ACFF" w:rsidR="005040F6" w:rsidRPr="007D401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Geiger, R. L. (1986). </w:t>
      </w:r>
      <w:r w:rsidRPr="007D4016">
        <w:rPr>
          <w:rFonts w:ascii="Times New Roman" w:hAnsi="Times New Roman"/>
          <w:i/>
          <w:sz w:val="24"/>
          <w:szCs w:val="24"/>
          <w:lang w:val="en-US" w:eastAsia="en-GB"/>
        </w:rPr>
        <w:t xml:space="preserve">Private </w:t>
      </w:r>
      <w:r w:rsidR="007C55C4">
        <w:rPr>
          <w:rFonts w:ascii="Times New Roman" w:hAnsi="Times New Roman"/>
          <w:i/>
          <w:sz w:val="24"/>
          <w:szCs w:val="24"/>
          <w:lang w:val="en-US" w:eastAsia="en-GB"/>
        </w:rPr>
        <w:t>s</w:t>
      </w:r>
      <w:r w:rsidRPr="007D4016">
        <w:rPr>
          <w:rFonts w:ascii="Times New Roman" w:hAnsi="Times New Roman"/>
          <w:i/>
          <w:sz w:val="24"/>
          <w:szCs w:val="24"/>
          <w:lang w:val="en-US" w:eastAsia="en-GB"/>
        </w:rPr>
        <w:t xml:space="preserve">ectors in </w:t>
      </w:r>
      <w:r w:rsidR="007C55C4">
        <w:rPr>
          <w:rFonts w:ascii="Times New Roman" w:hAnsi="Times New Roman"/>
          <w:i/>
          <w:sz w:val="24"/>
          <w:szCs w:val="24"/>
          <w:lang w:val="en-US" w:eastAsia="en-GB"/>
        </w:rPr>
        <w:t>h</w:t>
      </w:r>
      <w:r w:rsidRPr="007D4016">
        <w:rPr>
          <w:rFonts w:ascii="Times New Roman" w:hAnsi="Times New Roman"/>
          <w:i/>
          <w:sz w:val="24"/>
          <w:szCs w:val="24"/>
          <w:lang w:val="en-US" w:eastAsia="en-GB"/>
        </w:rPr>
        <w:t xml:space="preserve">igher </w:t>
      </w:r>
      <w:r w:rsidR="007C55C4">
        <w:rPr>
          <w:rFonts w:ascii="Times New Roman" w:hAnsi="Times New Roman"/>
          <w:i/>
          <w:sz w:val="24"/>
          <w:szCs w:val="24"/>
          <w:lang w:val="en-US" w:eastAsia="en-GB"/>
        </w:rPr>
        <w:t>e</w:t>
      </w:r>
      <w:r w:rsidRPr="007D4016">
        <w:rPr>
          <w:rFonts w:ascii="Times New Roman" w:hAnsi="Times New Roman"/>
          <w:i/>
          <w:sz w:val="24"/>
          <w:szCs w:val="24"/>
          <w:lang w:val="en-US" w:eastAsia="en-GB"/>
        </w:rPr>
        <w:t xml:space="preserve">ducation: Structure, </w:t>
      </w:r>
      <w:r w:rsidR="007C55C4">
        <w:rPr>
          <w:rFonts w:ascii="Times New Roman" w:hAnsi="Times New Roman"/>
          <w:i/>
          <w:sz w:val="24"/>
          <w:szCs w:val="24"/>
          <w:lang w:val="en-US" w:eastAsia="en-GB"/>
        </w:rPr>
        <w:t>f</w:t>
      </w:r>
      <w:r w:rsidRPr="007D4016">
        <w:rPr>
          <w:rFonts w:ascii="Times New Roman" w:hAnsi="Times New Roman"/>
          <w:i/>
          <w:sz w:val="24"/>
          <w:szCs w:val="24"/>
          <w:lang w:val="en-US" w:eastAsia="en-GB"/>
        </w:rPr>
        <w:t xml:space="preserve">unction, and </w:t>
      </w:r>
      <w:r w:rsidR="007C55C4">
        <w:rPr>
          <w:rFonts w:ascii="Times New Roman" w:hAnsi="Times New Roman"/>
          <w:i/>
          <w:sz w:val="24"/>
          <w:szCs w:val="24"/>
          <w:lang w:val="en-US" w:eastAsia="en-GB"/>
        </w:rPr>
        <w:t>c</w:t>
      </w:r>
      <w:r w:rsidRPr="007D4016">
        <w:rPr>
          <w:rFonts w:ascii="Times New Roman" w:hAnsi="Times New Roman"/>
          <w:i/>
          <w:sz w:val="24"/>
          <w:szCs w:val="24"/>
          <w:lang w:val="en-US" w:eastAsia="en-GB"/>
        </w:rPr>
        <w:t xml:space="preserve">hange in </w:t>
      </w:r>
      <w:r w:rsidR="007C55C4">
        <w:rPr>
          <w:rFonts w:ascii="Times New Roman" w:hAnsi="Times New Roman"/>
          <w:i/>
          <w:sz w:val="24"/>
          <w:szCs w:val="24"/>
          <w:lang w:val="en-US" w:eastAsia="en-GB"/>
        </w:rPr>
        <w:t>e</w:t>
      </w:r>
      <w:r w:rsidRPr="007D4016">
        <w:rPr>
          <w:rFonts w:ascii="Times New Roman" w:hAnsi="Times New Roman"/>
          <w:i/>
          <w:sz w:val="24"/>
          <w:szCs w:val="24"/>
          <w:lang w:val="en-US" w:eastAsia="en-GB"/>
        </w:rPr>
        <w:t xml:space="preserve">ight </w:t>
      </w:r>
      <w:r w:rsidR="007C55C4">
        <w:rPr>
          <w:rFonts w:ascii="Times New Roman" w:hAnsi="Times New Roman"/>
          <w:i/>
          <w:sz w:val="24"/>
          <w:szCs w:val="24"/>
          <w:lang w:val="en-US" w:eastAsia="en-GB"/>
        </w:rPr>
        <w:t>c</w:t>
      </w:r>
      <w:r w:rsidRPr="007D4016">
        <w:rPr>
          <w:rFonts w:ascii="Times New Roman" w:hAnsi="Times New Roman"/>
          <w:i/>
          <w:sz w:val="24"/>
          <w:szCs w:val="24"/>
          <w:lang w:val="en-US" w:eastAsia="en-GB"/>
        </w:rPr>
        <w:t>ountries.</w:t>
      </w:r>
      <w:r w:rsidRPr="007D4016">
        <w:rPr>
          <w:rFonts w:ascii="Times New Roman" w:hAnsi="Times New Roman"/>
          <w:sz w:val="24"/>
          <w:szCs w:val="24"/>
          <w:lang w:val="en-US" w:eastAsia="en-GB"/>
        </w:rPr>
        <w:t xml:space="preserve"> Ann Arbor, Michigan: University of Michigan Press.</w:t>
      </w:r>
    </w:p>
    <w:p w14:paraId="1E78363E" w14:textId="2027686C" w:rsidR="005040F6" w:rsidRPr="007D401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Jahic, D. (2014) School for </w:t>
      </w:r>
      <w:r w:rsidR="007C55C4">
        <w:rPr>
          <w:rFonts w:ascii="Times New Roman" w:hAnsi="Times New Roman"/>
          <w:sz w:val="24"/>
          <w:szCs w:val="24"/>
          <w:lang w:val="en-US" w:eastAsia="en-GB"/>
        </w:rPr>
        <w:t>s</w:t>
      </w:r>
      <w:r w:rsidRPr="007D4016">
        <w:rPr>
          <w:rFonts w:ascii="Times New Roman" w:hAnsi="Times New Roman"/>
          <w:sz w:val="24"/>
          <w:szCs w:val="24"/>
          <w:lang w:val="en-US" w:eastAsia="en-GB"/>
        </w:rPr>
        <w:t xml:space="preserve">candal: Corruption </w:t>
      </w:r>
      <w:r w:rsidR="007C55C4">
        <w:rPr>
          <w:rFonts w:ascii="Times New Roman" w:hAnsi="Times New Roman"/>
          <w:sz w:val="24"/>
          <w:szCs w:val="24"/>
          <w:lang w:val="en-US" w:eastAsia="en-GB"/>
        </w:rPr>
        <w:t>d</w:t>
      </w:r>
      <w:r w:rsidRPr="007D4016">
        <w:rPr>
          <w:rFonts w:ascii="Times New Roman" w:hAnsi="Times New Roman"/>
          <w:sz w:val="24"/>
          <w:szCs w:val="24"/>
          <w:lang w:val="en-US" w:eastAsia="en-GB"/>
        </w:rPr>
        <w:t xml:space="preserve">owngrades Balkan </w:t>
      </w:r>
      <w:r w:rsidR="007C55C4">
        <w:rPr>
          <w:rFonts w:ascii="Times New Roman" w:hAnsi="Times New Roman"/>
          <w:sz w:val="24"/>
          <w:szCs w:val="24"/>
          <w:lang w:val="en-US" w:eastAsia="en-GB"/>
        </w:rPr>
        <w:t>e</w:t>
      </w:r>
      <w:r w:rsidRPr="007D4016">
        <w:rPr>
          <w:rFonts w:ascii="Times New Roman" w:hAnsi="Times New Roman"/>
          <w:sz w:val="24"/>
          <w:szCs w:val="24"/>
          <w:lang w:val="en-US" w:eastAsia="en-GB"/>
        </w:rPr>
        <w:t>ducation. Balkan Insight 20 January 2014. Available at:</w:t>
      </w:r>
      <w:r w:rsidR="007C55C4">
        <w:rPr>
          <w:rFonts w:ascii="Times New Roman" w:hAnsi="Times New Roman"/>
          <w:sz w:val="24"/>
          <w:szCs w:val="24"/>
          <w:lang w:val="en-US" w:eastAsia="en-GB"/>
        </w:rPr>
        <w:t xml:space="preserve"> </w:t>
      </w:r>
      <w:hyperlink r:id="rId40" w:history="1">
        <w:r w:rsidRPr="007D4016">
          <w:rPr>
            <w:rStyle w:val="Hyperlink"/>
            <w:rFonts w:ascii="Times New Roman" w:hAnsi="Times New Roman"/>
            <w:sz w:val="24"/>
            <w:szCs w:val="24"/>
            <w:lang w:val="en-US" w:eastAsia="en-GB"/>
          </w:rPr>
          <w:t>http://www.balkaninsight.com/en/article/school-for-scandal-corruption-downgrades-balkan-education</w:t>
        </w:r>
      </w:hyperlink>
      <w:r w:rsidRPr="007D4016">
        <w:rPr>
          <w:rFonts w:ascii="Times New Roman" w:hAnsi="Times New Roman"/>
          <w:sz w:val="24"/>
          <w:szCs w:val="24"/>
          <w:lang w:val="en-US" w:eastAsia="en-GB"/>
        </w:rPr>
        <w:t xml:space="preserve"> </w:t>
      </w:r>
    </w:p>
    <w:p w14:paraId="04C5AF8F" w14:textId="64E5EDB2" w:rsidR="005040F6" w:rsidRPr="007D4016" w:rsidRDefault="005040F6" w:rsidP="005040F6">
      <w:pPr>
        <w:spacing w:after="100" w:afterAutospacing="1" w:line="240" w:lineRule="auto"/>
        <w:jc w:val="both"/>
        <w:rPr>
          <w:rFonts w:ascii="Times New Roman" w:hAnsi="Times New Roman"/>
          <w:sz w:val="24"/>
          <w:szCs w:val="24"/>
          <w:shd w:val="clear" w:color="auto" w:fill="FFFFFF"/>
          <w:lang w:val="en-US"/>
        </w:rPr>
      </w:pPr>
      <w:r w:rsidRPr="007D4016">
        <w:rPr>
          <w:rFonts w:ascii="Times New Roman" w:hAnsi="Times New Roman"/>
          <w:sz w:val="24"/>
          <w:szCs w:val="24"/>
          <w:shd w:val="clear" w:color="auto" w:fill="FFFFFF"/>
          <w:lang w:val="en-US"/>
        </w:rPr>
        <w:t>Klemenčič, M. (2013). The effects of Europeanisation on institutional diversification in the Western Balkans. In Zgaga, P.,</w:t>
      </w:r>
      <w:r w:rsidR="003D0BCD" w:rsidRPr="007D4016">
        <w:rPr>
          <w:rFonts w:ascii="Times New Roman" w:hAnsi="Times New Roman"/>
          <w:sz w:val="24"/>
          <w:szCs w:val="24"/>
          <w:shd w:val="clear" w:color="auto" w:fill="FFFFFF"/>
          <w:lang w:val="en-US"/>
        </w:rPr>
        <w:t xml:space="preserve"> Teichler, U. and Brennan, J. (E</w:t>
      </w:r>
      <w:r w:rsidRPr="007D4016">
        <w:rPr>
          <w:rFonts w:ascii="Times New Roman" w:hAnsi="Times New Roman"/>
          <w:sz w:val="24"/>
          <w:szCs w:val="24"/>
          <w:shd w:val="clear" w:color="auto" w:fill="FFFFFF"/>
          <w:lang w:val="en-US"/>
        </w:rPr>
        <w:t>ds.)</w:t>
      </w:r>
      <w:r w:rsidR="00972055">
        <w:rPr>
          <w:rFonts w:ascii="Times New Roman" w:hAnsi="Times New Roman"/>
          <w:sz w:val="24"/>
          <w:szCs w:val="24"/>
          <w:shd w:val="clear" w:color="auto" w:fill="FFFFFF"/>
          <w:lang w:val="en-US"/>
        </w:rPr>
        <w:t>,</w:t>
      </w:r>
      <w:r w:rsidRPr="007D4016">
        <w:rPr>
          <w:rFonts w:ascii="Times New Roman" w:hAnsi="Times New Roman"/>
          <w:sz w:val="24"/>
          <w:szCs w:val="24"/>
          <w:shd w:val="clear" w:color="auto" w:fill="FFFFFF"/>
          <w:lang w:val="en-US"/>
        </w:rPr>
        <w:t xml:space="preserve"> </w:t>
      </w:r>
      <w:r w:rsidRPr="007D4016">
        <w:rPr>
          <w:rStyle w:val="Emphasis"/>
          <w:rFonts w:ascii="Times New Roman" w:hAnsi="Times New Roman"/>
          <w:sz w:val="24"/>
          <w:szCs w:val="24"/>
          <w:shd w:val="clear" w:color="auto" w:fill="FFFFFF"/>
          <w:lang w:val="en-US"/>
        </w:rPr>
        <w:t xml:space="preserve">The globalisation challenge for European Higher Education: Convergence and diversity, centres and peripheries </w:t>
      </w:r>
      <w:r w:rsidRPr="007D4016">
        <w:rPr>
          <w:rStyle w:val="Emphasis"/>
          <w:rFonts w:ascii="Times New Roman" w:hAnsi="Times New Roman"/>
          <w:i w:val="0"/>
          <w:sz w:val="24"/>
          <w:szCs w:val="24"/>
          <w:shd w:val="clear" w:color="auto" w:fill="FFFFFF"/>
          <w:lang w:val="en-US"/>
        </w:rPr>
        <w:t>(p</w:t>
      </w:r>
      <w:r w:rsidRPr="007D4016">
        <w:rPr>
          <w:rFonts w:ascii="Times New Roman" w:hAnsi="Times New Roman"/>
          <w:sz w:val="24"/>
          <w:szCs w:val="24"/>
          <w:shd w:val="clear" w:color="auto" w:fill="FFFFFF"/>
          <w:lang w:val="en-US"/>
        </w:rPr>
        <w:t>p. 117-138). Frankfurt: Peter Lang.</w:t>
      </w:r>
    </w:p>
    <w:p w14:paraId="2EECBBEB" w14:textId="722086F2" w:rsidR="005040F6" w:rsidRPr="007D4016" w:rsidRDefault="005040F6" w:rsidP="005040F6">
      <w:pPr>
        <w:autoSpaceDE w:val="0"/>
        <w:autoSpaceDN w:val="0"/>
        <w:adjustRightInd w:val="0"/>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Kwiek, M. (2006). </w:t>
      </w:r>
      <w:r w:rsidRPr="007D4016">
        <w:rPr>
          <w:rFonts w:ascii="Times New Roman" w:hAnsi="Times New Roman"/>
          <w:i/>
          <w:iCs/>
          <w:sz w:val="24"/>
          <w:szCs w:val="24"/>
          <w:lang w:val="en-US" w:eastAsia="en-GB"/>
        </w:rPr>
        <w:t xml:space="preserve">The University and the </w:t>
      </w:r>
      <w:r w:rsidR="00972055">
        <w:rPr>
          <w:rFonts w:ascii="Times New Roman" w:hAnsi="Times New Roman"/>
          <w:i/>
          <w:iCs/>
          <w:sz w:val="24"/>
          <w:szCs w:val="24"/>
          <w:lang w:val="en-US" w:eastAsia="en-GB"/>
        </w:rPr>
        <w:t>s</w:t>
      </w:r>
      <w:r w:rsidRPr="007D4016">
        <w:rPr>
          <w:rFonts w:ascii="Times New Roman" w:hAnsi="Times New Roman"/>
          <w:i/>
          <w:iCs/>
          <w:sz w:val="24"/>
          <w:szCs w:val="24"/>
          <w:lang w:val="en-US" w:eastAsia="en-GB"/>
        </w:rPr>
        <w:t xml:space="preserve">tate: A </w:t>
      </w:r>
      <w:r w:rsidR="00972055">
        <w:rPr>
          <w:rFonts w:ascii="Times New Roman" w:hAnsi="Times New Roman"/>
          <w:i/>
          <w:iCs/>
          <w:sz w:val="24"/>
          <w:szCs w:val="24"/>
          <w:lang w:val="en-US" w:eastAsia="en-GB"/>
        </w:rPr>
        <w:t>s</w:t>
      </w:r>
      <w:r w:rsidRPr="007D4016">
        <w:rPr>
          <w:rFonts w:ascii="Times New Roman" w:hAnsi="Times New Roman"/>
          <w:i/>
          <w:iCs/>
          <w:sz w:val="24"/>
          <w:szCs w:val="24"/>
          <w:lang w:val="en-US" w:eastAsia="en-GB"/>
        </w:rPr>
        <w:t xml:space="preserve">tudy into </w:t>
      </w:r>
      <w:r w:rsidR="00972055">
        <w:rPr>
          <w:rFonts w:ascii="Times New Roman" w:hAnsi="Times New Roman"/>
          <w:i/>
          <w:iCs/>
          <w:sz w:val="24"/>
          <w:szCs w:val="24"/>
          <w:lang w:val="en-US" w:eastAsia="en-GB"/>
        </w:rPr>
        <w:t>g</w:t>
      </w:r>
      <w:r w:rsidRPr="007D4016">
        <w:rPr>
          <w:rFonts w:ascii="Times New Roman" w:hAnsi="Times New Roman"/>
          <w:i/>
          <w:iCs/>
          <w:sz w:val="24"/>
          <w:szCs w:val="24"/>
          <w:lang w:val="en-US" w:eastAsia="en-GB"/>
        </w:rPr>
        <w:t xml:space="preserve">lobal </w:t>
      </w:r>
      <w:r w:rsidR="00972055">
        <w:rPr>
          <w:rFonts w:ascii="Times New Roman" w:hAnsi="Times New Roman"/>
          <w:i/>
          <w:iCs/>
          <w:sz w:val="24"/>
          <w:szCs w:val="24"/>
          <w:lang w:val="en-US" w:eastAsia="en-GB"/>
        </w:rPr>
        <w:t>t</w:t>
      </w:r>
      <w:r w:rsidRPr="007D4016">
        <w:rPr>
          <w:rFonts w:ascii="Times New Roman" w:hAnsi="Times New Roman"/>
          <w:i/>
          <w:iCs/>
          <w:sz w:val="24"/>
          <w:szCs w:val="24"/>
          <w:lang w:val="en-US" w:eastAsia="en-GB"/>
        </w:rPr>
        <w:t>ransformations</w:t>
      </w:r>
      <w:r w:rsidRPr="007D4016">
        <w:rPr>
          <w:rFonts w:ascii="Times New Roman" w:hAnsi="Times New Roman"/>
          <w:sz w:val="24"/>
          <w:szCs w:val="24"/>
          <w:lang w:val="en-US" w:eastAsia="en-GB"/>
        </w:rPr>
        <w:t>. Frankfurt: Peter Lang.</w:t>
      </w:r>
    </w:p>
    <w:p w14:paraId="4AF1FE56" w14:textId="3F12FCF4" w:rsidR="00465C06" w:rsidRPr="007D4016" w:rsidRDefault="00465C0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Levy, D. C. (1992). Private institutions of higher education. In B. R. Clark &amp; G. R. Neave. (Eds.)</w:t>
      </w:r>
      <w:r>
        <w:rPr>
          <w:rFonts w:ascii="Times New Roman" w:hAnsi="Times New Roman"/>
          <w:sz w:val="24"/>
          <w:szCs w:val="24"/>
          <w:lang w:val="en-US" w:eastAsia="en-GB"/>
        </w:rPr>
        <w:t>,</w:t>
      </w:r>
      <w:r w:rsidRPr="007D4016">
        <w:rPr>
          <w:rFonts w:ascii="Times New Roman" w:hAnsi="Times New Roman"/>
          <w:sz w:val="24"/>
          <w:szCs w:val="24"/>
          <w:lang w:val="en-US" w:eastAsia="en-GB"/>
        </w:rPr>
        <w:t xml:space="preserve"> </w:t>
      </w:r>
      <w:r w:rsidRPr="007D4016">
        <w:rPr>
          <w:rFonts w:ascii="Times New Roman" w:hAnsi="Times New Roman"/>
          <w:i/>
          <w:sz w:val="24"/>
          <w:szCs w:val="24"/>
          <w:lang w:val="en-US" w:eastAsia="en-GB"/>
        </w:rPr>
        <w:t xml:space="preserve">The </w:t>
      </w:r>
      <w:r w:rsidR="00243F2D">
        <w:rPr>
          <w:rFonts w:ascii="Times New Roman" w:hAnsi="Times New Roman"/>
          <w:i/>
          <w:sz w:val="24"/>
          <w:szCs w:val="24"/>
          <w:lang w:val="en-US" w:eastAsia="en-GB"/>
        </w:rPr>
        <w:t>e</w:t>
      </w:r>
      <w:r w:rsidR="00243F2D" w:rsidRPr="007D4016">
        <w:rPr>
          <w:rFonts w:ascii="Times New Roman" w:hAnsi="Times New Roman"/>
          <w:i/>
          <w:sz w:val="24"/>
          <w:szCs w:val="24"/>
          <w:lang w:val="en-US" w:eastAsia="en-GB"/>
        </w:rPr>
        <w:t>ncyclopedia</w:t>
      </w:r>
      <w:r w:rsidRPr="007D4016">
        <w:rPr>
          <w:rFonts w:ascii="Times New Roman" w:hAnsi="Times New Roman"/>
          <w:i/>
          <w:sz w:val="24"/>
          <w:szCs w:val="24"/>
          <w:lang w:val="en-US" w:eastAsia="en-GB"/>
        </w:rPr>
        <w:t xml:space="preserve"> of </w:t>
      </w:r>
      <w:r>
        <w:rPr>
          <w:rFonts w:ascii="Times New Roman" w:hAnsi="Times New Roman"/>
          <w:i/>
          <w:sz w:val="24"/>
          <w:szCs w:val="24"/>
          <w:lang w:val="en-US" w:eastAsia="en-GB"/>
        </w:rPr>
        <w:t>h</w:t>
      </w:r>
      <w:r w:rsidRPr="007D4016">
        <w:rPr>
          <w:rFonts w:ascii="Times New Roman" w:hAnsi="Times New Roman"/>
          <w:i/>
          <w:sz w:val="24"/>
          <w:szCs w:val="24"/>
          <w:lang w:val="en-US" w:eastAsia="en-GB"/>
        </w:rPr>
        <w:t xml:space="preserve">igher </w:t>
      </w:r>
      <w:r>
        <w:rPr>
          <w:rFonts w:ascii="Times New Roman" w:hAnsi="Times New Roman"/>
          <w:i/>
          <w:sz w:val="24"/>
          <w:szCs w:val="24"/>
          <w:lang w:val="en-US" w:eastAsia="en-GB"/>
        </w:rPr>
        <w:t>e</w:t>
      </w:r>
      <w:r w:rsidRPr="007D4016">
        <w:rPr>
          <w:rFonts w:ascii="Times New Roman" w:hAnsi="Times New Roman"/>
          <w:i/>
          <w:sz w:val="24"/>
          <w:szCs w:val="24"/>
          <w:lang w:val="en-US" w:eastAsia="en-GB"/>
        </w:rPr>
        <w:t>ducation (Vol. 1, pp. 1183-1194)</w:t>
      </w:r>
      <w:r w:rsidRPr="007D4016">
        <w:rPr>
          <w:rFonts w:ascii="Times New Roman" w:hAnsi="Times New Roman"/>
          <w:sz w:val="24"/>
          <w:szCs w:val="24"/>
          <w:lang w:val="en-US" w:eastAsia="en-GB"/>
        </w:rPr>
        <w:t xml:space="preserve">. London: Pergamon Press. </w:t>
      </w:r>
    </w:p>
    <w:p w14:paraId="40B70C86" w14:textId="5E264D9E" w:rsidR="00465C06" w:rsidRDefault="00465C0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Levy, D. C. (2013). The </w:t>
      </w:r>
      <w:r>
        <w:rPr>
          <w:rFonts w:ascii="Times New Roman" w:hAnsi="Times New Roman"/>
          <w:sz w:val="24"/>
          <w:szCs w:val="24"/>
          <w:lang w:val="en-US" w:eastAsia="en-GB"/>
        </w:rPr>
        <w:t>d</w:t>
      </w:r>
      <w:r w:rsidRPr="007D4016">
        <w:rPr>
          <w:rFonts w:ascii="Times New Roman" w:hAnsi="Times New Roman"/>
          <w:sz w:val="24"/>
          <w:szCs w:val="24"/>
          <w:lang w:val="en-US" w:eastAsia="en-GB"/>
        </w:rPr>
        <w:t xml:space="preserve">ecline of </w:t>
      </w:r>
      <w:r>
        <w:rPr>
          <w:rFonts w:ascii="Times New Roman" w:hAnsi="Times New Roman"/>
          <w:sz w:val="24"/>
          <w:szCs w:val="24"/>
          <w:lang w:val="en-US" w:eastAsia="en-GB"/>
        </w:rPr>
        <w:t>p</w:t>
      </w:r>
      <w:r w:rsidRPr="007D4016">
        <w:rPr>
          <w:rFonts w:ascii="Times New Roman" w:hAnsi="Times New Roman"/>
          <w:sz w:val="24"/>
          <w:szCs w:val="24"/>
          <w:lang w:val="en-US" w:eastAsia="en-GB"/>
        </w:rPr>
        <w:t xml:space="preserve">rivate </w:t>
      </w:r>
      <w:r>
        <w:rPr>
          <w:rFonts w:ascii="Times New Roman" w:hAnsi="Times New Roman"/>
          <w:sz w:val="24"/>
          <w:szCs w:val="24"/>
          <w:lang w:val="en-US" w:eastAsia="en-GB"/>
        </w:rPr>
        <w:t>h</w:t>
      </w:r>
      <w:r w:rsidRPr="007D4016">
        <w:rPr>
          <w:rFonts w:ascii="Times New Roman" w:hAnsi="Times New Roman"/>
          <w:sz w:val="24"/>
          <w:szCs w:val="24"/>
          <w:lang w:val="en-US" w:eastAsia="en-GB"/>
        </w:rPr>
        <w:t xml:space="preserve">igher </w:t>
      </w:r>
      <w:r>
        <w:rPr>
          <w:rFonts w:ascii="Times New Roman" w:hAnsi="Times New Roman"/>
          <w:sz w:val="24"/>
          <w:szCs w:val="24"/>
          <w:lang w:val="en-US" w:eastAsia="en-GB"/>
        </w:rPr>
        <w:t>e</w:t>
      </w:r>
      <w:r w:rsidRPr="007D4016">
        <w:rPr>
          <w:rFonts w:ascii="Times New Roman" w:hAnsi="Times New Roman"/>
          <w:sz w:val="24"/>
          <w:szCs w:val="24"/>
          <w:lang w:val="en-US" w:eastAsia="en-GB"/>
        </w:rPr>
        <w:t xml:space="preserve">ducation. </w:t>
      </w:r>
      <w:r w:rsidRPr="007D4016">
        <w:rPr>
          <w:rFonts w:ascii="Times New Roman" w:hAnsi="Times New Roman"/>
          <w:i/>
          <w:sz w:val="24"/>
          <w:szCs w:val="24"/>
          <w:lang w:val="en-US" w:eastAsia="en-GB"/>
        </w:rPr>
        <w:t>Higher Education Policy</w:t>
      </w:r>
      <w:r>
        <w:rPr>
          <w:rFonts w:ascii="Times New Roman" w:hAnsi="Times New Roman"/>
          <w:sz w:val="24"/>
          <w:szCs w:val="24"/>
          <w:lang w:val="en-US" w:eastAsia="en-GB"/>
        </w:rPr>
        <w:t xml:space="preserve">, </w:t>
      </w:r>
      <w:r w:rsidRPr="007D4016">
        <w:rPr>
          <w:rFonts w:ascii="Times New Roman" w:hAnsi="Times New Roman"/>
          <w:sz w:val="24"/>
          <w:szCs w:val="24"/>
          <w:lang w:val="en-US" w:eastAsia="en-GB"/>
        </w:rPr>
        <w:t>26(1)</w:t>
      </w:r>
      <w:r>
        <w:rPr>
          <w:rFonts w:ascii="Times New Roman" w:hAnsi="Times New Roman"/>
          <w:sz w:val="24"/>
          <w:szCs w:val="24"/>
          <w:lang w:val="en-US" w:eastAsia="en-GB"/>
        </w:rPr>
        <w:t>,</w:t>
      </w:r>
      <w:r w:rsidRPr="007D4016">
        <w:rPr>
          <w:rFonts w:ascii="Times New Roman" w:hAnsi="Times New Roman"/>
          <w:sz w:val="24"/>
          <w:szCs w:val="24"/>
          <w:lang w:val="en-US" w:eastAsia="en-GB"/>
        </w:rPr>
        <w:t xml:space="preserve"> 25-42.</w:t>
      </w:r>
    </w:p>
    <w:p w14:paraId="081A025D" w14:textId="22E8383D" w:rsidR="00B56A12" w:rsidRDefault="00B56A12" w:rsidP="00B56A12">
      <w:pPr>
        <w:spacing w:after="100" w:afterAutospacing="1" w:line="240" w:lineRule="auto"/>
        <w:jc w:val="both"/>
        <w:rPr>
          <w:rFonts w:ascii="Times New Roman" w:hAnsi="Times New Roman"/>
          <w:sz w:val="24"/>
          <w:szCs w:val="24"/>
          <w:lang w:val="en-US" w:eastAsia="en-GB"/>
        </w:rPr>
      </w:pPr>
      <w:r w:rsidRPr="008F0351">
        <w:rPr>
          <w:rFonts w:ascii="Times New Roman" w:hAnsi="Times New Roman"/>
          <w:sz w:val="24"/>
          <w:szCs w:val="24"/>
          <w:lang w:val="en-US" w:eastAsia="en-GB"/>
        </w:rPr>
        <w:t>Lynch, K. (2006). N</w:t>
      </w:r>
      <w:r w:rsidR="00243F2D" w:rsidRPr="008F0351">
        <w:rPr>
          <w:rFonts w:ascii="Times New Roman" w:hAnsi="Times New Roman"/>
          <w:sz w:val="24"/>
          <w:szCs w:val="24"/>
          <w:lang w:val="en-US" w:eastAsia="en-GB"/>
        </w:rPr>
        <w:t xml:space="preserve">eo-liberalism and marketisation: the implications for higher </w:t>
      </w:r>
      <w:r w:rsidRPr="008F0351">
        <w:rPr>
          <w:rFonts w:ascii="Times New Roman" w:hAnsi="Times New Roman"/>
          <w:sz w:val="24"/>
          <w:szCs w:val="24"/>
          <w:lang w:val="en-US" w:eastAsia="en-GB"/>
        </w:rPr>
        <w:t>education</w:t>
      </w:r>
      <w:r w:rsidR="00243F2D" w:rsidRPr="008F0351">
        <w:rPr>
          <w:rFonts w:ascii="Times New Roman" w:hAnsi="Times New Roman"/>
          <w:sz w:val="24"/>
          <w:szCs w:val="24"/>
          <w:lang w:val="en-US" w:eastAsia="en-GB"/>
        </w:rPr>
        <w:t xml:space="preserve">. </w:t>
      </w:r>
      <w:r w:rsidRPr="008F0351">
        <w:rPr>
          <w:rFonts w:ascii="Times New Roman" w:hAnsi="Times New Roman"/>
          <w:i/>
          <w:sz w:val="24"/>
          <w:szCs w:val="24"/>
          <w:lang w:val="en-US" w:eastAsia="en-GB"/>
        </w:rPr>
        <w:t>European Educational Research Journal</w:t>
      </w:r>
      <w:r w:rsidRPr="008F0351">
        <w:rPr>
          <w:rFonts w:ascii="Times New Roman" w:hAnsi="Times New Roman"/>
          <w:sz w:val="24"/>
          <w:szCs w:val="24"/>
          <w:lang w:val="en-US" w:eastAsia="en-GB"/>
        </w:rPr>
        <w:t>, 5 (1)</w:t>
      </w:r>
      <w:r w:rsidR="00243F2D" w:rsidRPr="008F0351">
        <w:rPr>
          <w:rFonts w:ascii="Times New Roman" w:hAnsi="Times New Roman"/>
          <w:sz w:val="24"/>
          <w:szCs w:val="24"/>
          <w:lang w:val="en-US" w:eastAsia="en-GB"/>
        </w:rPr>
        <w:t>,</w:t>
      </w:r>
      <w:r w:rsidRPr="008F0351">
        <w:rPr>
          <w:rFonts w:ascii="Times New Roman" w:hAnsi="Times New Roman"/>
          <w:sz w:val="24"/>
          <w:szCs w:val="24"/>
          <w:lang w:val="en-US" w:eastAsia="en-GB"/>
        </w:rPr>
        <w:t xml:space="preserve"> 1-17</w:t>
      </w:r>
      <w:r w:rsidR="00243F2D" w:rsidRPr="008F0351">
        <w:rPr>
          <w:rFonts w:ascii="Times New Roman" w:hAnsi="Times New Roman"/>
          <w:sz w:val="24"/>
          <w:szCs w:val="24"/>
          <w:lang w:val="en-US" w:eastAsia="en-GB"/>
        </w:rPr>
        <w:t>.</w:t>
      </w:r>
    </w:p>
    <w:p w14:paraId="3F1F9796" w14:textId="534D36DC" w:rsidR="00465C06" w:rsidRDefault="005040F6" w:rsidP="005040F6">
      <w:pPr>
        <w:spacing w:after="100" w:afterAutospacing="1" w:line="240" w:lineRule="auto"/>
        <w:jc w:val="both"/>
        <w:rPr>
          <w:rFonts w:ascii="Times New Roman" w:hAnsi="Times New Roman"/>
          <w:sz w:val="24"/>
          <w:szCs w:val="24"/>
          <w:lang w:val="en-US" w:eastAsia="en-GB"/>
        </w:rPr>
      </w:pPr>
      <w:r w:rsidRPr="007D4016">
        <w:rPr>
          <w:rFonts w:ascii="Times New Roman" w:hAnsi="Times New Roman"/>
          <w:sz w:val="24"/>
          <w:szCs w:val="24"/>
          <w:lang w:val="en-US" w:eastAsia="en-GB"/>
        </w:rPr>
        <w:t xml:space="preserve">Marginson, S. (1997). Imagining </w:t>
      </w:r>
      <w:r w:rsidR="00972055">
        <w:rPr>
          <w:rFonts w:ascii="Times New Roman" w:hAnsi="Times New Roman"/>
          <w:sz w:val="24"/>
          <w:szCs w:val="24"/>
          <w:lang w:val="en-US" w:eastAsia="en-GB"/>
        </w:rPr>
        <w:t>i</w:t>
      </w:r>
      <w:r w:rsidRPr="007D4016">
        <w:rPr>
          <w:rFonts w:ascii="Times New Roman" w:hAnsi="Times New Roman"/>
          <w:sz w:val="24"/>
          <w:szCs w:val="24"/>
          <w:lang w:val="en-US" w:eastAsia="en-GB"/>
        </w:rPr>
        <w:t xml:space="preserve">vy: Pitfalls in the </w:t>
      </w:r>
      <w:r w:rsidR="00972055">
        <w:rPr>
          <w:rFonts w:ascii="Times New Roman" w:hAnsi="Times New Roman"/>
          <w:sz w:val="24"/>
          <w:szCs w:val="24"/>
          <w:lang w:val="en-US" w:eastAsia="en-GB"/>
        </w:rPr>
        <w:t>p</w:t>
      </w:r>
      <w:r w:rsidRPr="007D4016">
        <w:rPr>
          <w:rFonts w:ascii="Times New Roman" w:hAnsi="Times New Roman"/>
          <w:sz w:val="24"/>
          <w:szCs w:val="24"/>
          <w:lang w:val="en-US" w:eastAsia="en-GB"/>
        </w:rPr>
        <w:t xml:space="preserve">rivatization of </w:t>
      </w:r>
      <w:r w:rsidR="00972055">
        <w:rPr>
          <w:rFonts w:ascii="Times New Roman" w:hAnsi="Times New Roman"/>
          <w:sz w:val="24"/>
          <w:szCs w:val="24"/>
          <w:lang w:val="en-US" w:eastAsia="en-GB"/>
        </w:rPr>
        <w:t>h</w:t>
      </w:r>
      <w:r w:rsidRPr="007D4016">
        <w:rPr>
          <w:rFonts w:ascii="Times New Roman" w:hAnsi="Times New Roman"/>
          <w:sz w:val="24"/>
          <w:szCs w:val="24"/>
          <w:lang w:val="en-US" w:eastAsia="en-GB"/>
        </w:rPr>
        <w:t xml:space="preserve">igher </w:t>
      </w:r>
      <w:r w:rsidR="00972055">
        <w:rPr>
          <w:rFonts w:ascii="Times New Roman" w:hAnsi="Times New Roman"/>
          <w:sz w:val="24"/>
          <w:szCs w:val="24"/>
          <w:lang w:val="en-US" w:eastAsia="en-GB"/>
        </w:rPr>
        <w:t>e</w:t>
      </w:r>
      <w:r w:rsidRPr="007D4016">
        <w:rPr>
          <w:rFonts w:ascii="Times New Roman" w:hAnsi="Times New Roman"/>
          <w:sz w:val="24"/>
          <w:szCs w:val="24"/>
          <w:lang w:val="en-US" w:eastAsia="en-GB"/>
        </w:rPr>
        <w:t xml:space="preserve">ducation in Australia. </w:t>
      </w:r>
      <w:r w:rsidRPr="007D4016">
        <w:rPr>
          <w:rFonts w:ascii="Times New Roman" w:hAnsi="Times New Roman"/>
          <w:i/>
          <w:sz w:val="24"/>
          <w:szCs w:val="24"/>
          <w:lang w:val="en-US" w:eastAsia="en-GB"/>
        </w:rPr>
        <w:t>Comparative Education Review</w:t>
      </w:r>
      <w:r w:rsidRPr="007D4016">
        <w:rPr>
          <w:rFonts w:ascii="Times New Roman" w:hAnsi="Times New Roman"/>
          <w:sz w:val="24"/>
          <w:szCs w:val="24"/>
          <w:lang w:val="en-US" w:eastAsia="en-GB"/>
        </w:rPr>
        <w:t>, 41(4), 460-480.</w:t>
      </w:r>
    </w:p>
    <w:p w14:paraId="40454656" w14:textId="77777777" w:rsidR="00465C06" w:rsidRPr="007D4016" w:rsidRDefault="00465C06" w:rsidP="005040F6">
      <w:pPr>
        <w:spacing w:after="100" w:afterAutospacing="1" w:line="240" w:lineRule="auto"/>
        <w:jc w:val="both"/>
        <w:rPr>
          <w:rFonts w:ascii="Times New Roman" w:hAnsi="Times New Roman"/>
          <w:sz w:val="24"/>
          <w:szCs w:val="24"/>
          <w:lang w:val="en-US"/>
        </w:rPr>
      </w:pPr>
      <w:r w:rsidRPr="007D4016">
        <w:rPr>
          <w:rFonts w:ascii="Times New Roman" w:hAnsi="Times New Roman"/>
          <w:sz w:val="24"/>
          <w:szCs w:val="24"/>
          <w:lang w:val="en-US"/>
        </w:rPr>
        <w:t xml:space="preserve">Slantcheva, S., and Levy, D. C. (2007). </w:t>
      </w:r>
      <w:r w:rsidRPr="007D4016">
        <w:rPr>
          <w:rFonts w:ascii="Times New Roman" w:hAnsi="Times New Roman"/>
          <w:i/>
          <w:sz w:val="24"/>
          <w:szCs w:val="24"/>
          <w:lang w:val="en-US"/>
        </w:rPr>
        <w:t>Private higher education in Post-Communist Europe: In search of legitimacy</w:t>
      </w:r>
      <w:r w:rsidRPr="007D4016">
        <w:rPr>
          <w:rFonts w:ascii="Times New Roman" w:hAnsi="Times New Roman"/>
          <w:sz w:val="24"/>
          <w:szCs w:val="24"/>
          <w:lang w:val="en-US"/>
        </w:rPr>
        <w:t>. New York: Palgrave Macmillan.</w:t>
      </w:r>
    </w:p>
    <w:p w14:paraId="3CA829A8" w14:textId="452C4266" w:rsidR="00465C06" w:rsidRPr="007D4016" w:rsidRDefault="00465C06" w:rsidP="005040F6">
      <w:pPr>
        <w:spacing w:after="100" w:afterAutospacing="1" w:line="240" w:lineRule="auto"/>
        <w:jc w:val="both"/>
        <w:rPr>
          <w:rFonts w:ascii="Times New Roman" w:hAnsi="Times New Roman"/>
          <w:sz w:val="24"/>
          <w:szCs w:val="24"/>
          <w:lang w:val="en-US"/>
        </w:rPr>
      </w:pPr>
      <w:r w:rsidRPr="007D4016">
        <w:rPr>
          <w:rFonts w:ascii="Times New Roman" w:hAnsi="Times New Roman"/>
          <w:sz w:val="24"/>
          <w:szCs w:val="24"/>
          <w:lang w:val="en-US"/>
        </w:rPr>
        <w:t xml:space="preserve">Stensaker, B., Branković, J., Kovačević, M., Maassen, P. and Vukasović, M. (2014). Introduction. </w:t>
      </w:r>
      <w:r w:rsidRPr="007D4016">
        <w:rPr>
          <w:rFonts w:ascii="Times New Roman" w:hAnsi="Times New Roman"/>
          <w:sz w:val="24"/>
          <w:szCs w:val="24"/>
          <w:shd w:val="clear" w:color="auto" w:fill="FFFFFF"/>
          <w:lang w:val="en-US"/>
        </w:rPr>
        <w:t xml:space="preserve">In J. Branković, M. Kovačević, P. Maassen, B. Stensaker &amp; M. Vukasović (Eds.), </w:t>
      </w:r>
      <w:r w:rsidRPr="007D4016">
        <w:rPr>
          <w:rFonts w:ascii="Times New Roman" w:hAnsi="Times New Roman"/>
          <w:i/>
          <w:sz w:val="24"/>
          <w:szCs w:val="24"/>
          <w:shd w:val="clear" w:color="auto" w:fill="FFFFFF"/>
          <w:lang w:val="en-US"/>
        </w:rPr>
        <w:t xml:space="preserve">The </w:t>
      </w:r>
      <w:r>
        <w:rPr>
          <w:rFonts w:ascii="Times New Roman" w:hAnsi="Times New Roman"/>
          <w:i/>
          <w:sz w:val="24"/>
          <w:szCs w:val="24"/>
          <w:shd w:val="clear" w:color="auto" w:fill="FFFFFF"/>
          <w:lang w:val="en-US"/>
        </w:rPr>
        <w:t>r</w:t>
      </w:r>
      <w:r w:rsidRPr="007D4016">
        <w:rPr>
          <w:rFonts w:ascii="Times New Roman" w:hAnsi="Times New Roman"/>
          <w:i/>
          <w:sz w:val="24"/>
          <w:szCs w:val="24"/>
          <w:shd w:val="clear" w:color="auto" w:fill="FFFFFF"/>
          <w:lang w:val="en-US"/>
        </w:rPr>
        <w:t>e-</w:t>
      </w:r>
      <w:r>
        <w:rPr>
          <w:rFonts w:ascii="Times New Roman" w:hAnsi="Times New Roman"/>
          <w:i/>
          <w:sz w:val="24"/>
          <w:szCs w:val="24"/>
          <w:shd w:val="clear" w:color="auto" w:fill="FFFFFF"/>
          <w:lang w:val="en-US"/>
        </w:rPr>
        <w:t>i</w:t>
      </w:r>
      <w:r w:rsidRPr="007D4016">
        <w:rPr>
          <w:rFonts w:ascii="Times New Roman" w:hAnsi="Times New Roman"/>
          <w:i/>
          <w:sz w:val="24"/>
          <w:szCs w:val="24"/>
          <w:shd w:val="clear" w:color="auto" w:fill="FFFFFF"/>
          <w:lang w:val="en-US"/>
        </w:rPr>
        <w:t xml:space="preserve">nstitutionalization of </w:t>
      </w:r>
      <w:r>
        <w:rPr>
          <w:rFonts w:ascii="Times New Roman" w:hAnsi="Times New Roman"/>
          <w:i/>
          <w:sz w:val="24"/>
          <w:szCs w:val="24"/>
          <w:shd w:val="clear" w:color="auto" w:fill="FFFFFF"/>
          <w:lang w:val="en-US"/>
        </w:rPr>
        <w:t>h</w:t>
      </w:r>
      <w:r w:rsidRPr="007D4016">
        <w:rPr>
          <w:rFonts w:ascii="Times New Roman" w:hAnsi="Times New Roman"/>
          <w:i/>
          <w:sz w:val="24"/>
          <w:szCs w:val="24"/>
          <w:shd w:val="clear" w:color="auto" w:fill="FFFFFF"/>
          <w:lang w:val="en-US"/>
        </w:rPr>
        <w:t xml:space="preserve">igher </w:t>
      </w:r>
      <w:r>
        <w:rPr>
          <w:rFonts w:ascii="Times New Roman" w:hAnsi="Times New Roman"/>
          <w:i/>
          <w:sz w:val="24"/>
          <w:szCs w:val="24"/>
          <w:shd w:val="clear" w:color="auto" w:fill="FFFFFF"/>
          <w:lang w:val="en-US"/>
        </w:rPr>
        <w:t>e</w:t>
      </w:r>
      <w:r w:rsidRPr="007D4016">
        <w:rPr>
          <w:rFonts w:ascii="Times New Roman" w:hAnsi="Times New Roman"/>
          <w:i/>
          <w:sz w:val="24"/>
          <w:szCs w:val="24"/>
          <w:shd w:val="clear" w:color="auto" w:fill="FFFFFF"/>
          <w:lang w:val="en-US"/>
        </w:rPr>
        <w:t>ducation in the Western Balkans</w:t>
      </w:r>
      <w:r>
        <w:rPr>
          <w:rFonts w:ascii="Times New Roman" w:hAnsi="Times New Roman"/>
          <w:i/>
          <w:sz w:val="24"/>
          <w:szCs w:val="24"/>
          <w:shd w:val="clear" w:color="auto" w:fill="FFFFFF"/>
          <w:lang w:val="en-US"/>
        </w:rPr>
        <w:t>:</w:t>
      </w:r>
      <w:r w:rsidRPr="007D4016">
        <w:rPr>
          <w:rFonts w:ascii="Times New Roman" w:hAnsi="Times New Roman"/>
          <w:i/>
          <w:sz w:val="24"/>
          <w:szCs w:val="24"/>
          <w:shd w:val="clear" w:color="auto" w:fill="FFFFFF"/>
          <w:lang w:val="en-US"/>
        </w:rPr>
        <w:t xml:space="preserve"> The interplay between European ideas, domestic policies, and institutional practices </w:t>
      </w:r>
      <w:r w:rsidRPr="007D4016">
        <w:rPr>
          <w:rFonts w:ascii="Times New Roman" w:hAnsi="Times New Roman"/>
          <w:sz w:val="24"/>
          <w:szCs w:val="24"/>
          <w:shd w:val="clear" w:color="auto" w:fill="FFFFFF"/>
          <w:lang w:val="en-US"/>
        </w:rPr>
        <w:t>(pp. 9-18). Frankfurt am Main: Peter Lang.</w:t>
      </w:r>
    </w:p>
    <w:p w14:paraId="1A52F8C3" w14:textId="6B217C72" w:rsidR="005040F6" w:rsidRPr="007D4016" w:rsidRDefault="005040F6" w:rsidP="005040F6">
      <w:pPr>
        <w:spacing w:after="100" w:afterAutospacing="1" w:line="240" w:lineRule="auto"/>
        <w:jc w:val="both"/>
        <w:rPr>
          <w:rFonts w:ascii="Times New Roman" w:hAnsi="Times New Roman"/>
          <w:sz w:val="24"/>
          <w:szCs w:val="24"/>
          <w:lang w:val="en-US"/>
        </w:rPr>
      </w:pPr>
      <w:r w:rsidRPr="007D4016">
        <w:rPr>
          <w:rFonts w:ascii="Times New Roman" w:hAnsi="Times New Roman"/>
          <w:sz w:val="24"/>
          <w:szCs w:val="24"/>
          <w:lang w:val="en-US"/>
        </w:rPr>
        <w:t xml:space="preserve">Teixeira, P., Dill, D., Jongbloed, B. &amp; Amaral, A. (Eds.) (2004). </w:t>
      </w:r>
      <w:r w:rsidRPr="007D4016">
        <w:rPr>
          <w:rFonts w:ascii="Times New Roman" w:hAnsi="Times New Roman"/>
          <w:i/>
          <w:iCs/>
          <w:sz w:val="24"/>
          <w:szCs w:val="24"/>
          <w:lang w:val="en-US"/>
        </w:rPr>
        <w:t>The rising strength of markets in higher education</w:t>
      </w:r>
      <w:r w:rsidRPr="007D4016">
        <w:rPr>
          <w:rFonts w:ascii="Times New Roman" w:hAnsi="Times New Roman"/>
          <w:sz w:val="24"/>
          <w:szCs w:val="24"/>
          <w:lang w:val="en-US"/>
        </w:rPr>
        <w:t>. Dordrecht: Kluwer Academic Publishers.</w:t>
      </w:r>
    </w:p>
    <w:p w14:paraId="7C1E0570" w14:textId="4DFC13AD" w:rsidR="005040F6" w:rsidRPr="007D4016" w:rsidRDefault="005040F6" w:rsidP="005040F6">
      <w:pPr>
        <w:spacing w:after="100" w:afterAutospacing="1" w:line="240" w:lineRule="auto"/>
        <w:jc w:val="both"/>
        <w:rPr>
          <w:rFonts w:ascii="Times New Roman" w:hAnsi="Times New Roman"/>
          <w:sz w:val="24"/>
          <w:szCs w:val="24"/>
          <w:lang w:val="en-US"/>
        </w:rPr>
      </w:pPr>
      <w:r w:rsidRPr="007D4016">
        <w:rPr>
          <w:rFonts w:ascii="Times New Roman" w:hAnsi="Times New Roman"/>
          <w:sz w:val="24"/>
          <w:szCs w:val="24"/>
          <w:lang w:val="en-US"/>
        </w:rPr>
        <w:t xml:space="preserve">Teixteira, N. P., Rocha, V., Biscaia, R. and Fonseca Cardoso, M. (2013). Policy changes, marketisation trends and spatial dispersion in European higher education: </w:t>
      </w:r>
      <w:r w:rsidR="00972055">
        <w:rPr>
          <w:rFonts w:ascii="Times New Roman" w:hAnsi="Times New Roman"/>
          <w:sz w:val="24"/>
          <w:szCs w:val="24"/>
          <w:lang w:val="en-US"/>
        </w:rPr>
        <w:t>C</w:t>
      </w:r>
      <w:r w:rsidRPr="007D4016">
        <w:rPr>
          <w:rFonts w:ascii="Times New Roman" w:hAnsi="Times New Roman"/>
          <w:sz w:val="24"/>
          <w:szCs w:val="24"/>
          <w:lang w:val="en-US"/>
        </w:rPr>
        <w:t xml:space="preserve">omparing public and private sectors. </w:t>
      </w:r>
      <w:r w:rsidRPr="005A45D6">
        <w:rPr>
          <w:rFonts w:ascii="Times New Roman" w:hAnsi="Times New Roman"/>
          <w:i/>
          <w:sz w:val="24"/>
          <w:szCs w:val="24"/>
          <w:lang w:val="en-US"/>
        </w:rPr>
        <w:t>Cambridge Journal of Regions, Economy and Society</w:t>
      </w:r>
      <w:r w:rsidRPr="007D4016">
        <w:rPr>
          <w:rFonts w:ascii="Times New Roman" w:hAnsi="Times New Roman"/>
          <w:sz w:val="24"/>
          <w:szCs w:val="24"/>
          <w:lang w:val="en-US"/>
        </w:rPr>
        <w:t>. doi:10.1093/cjres/rst027</w:t>
      </w:r>
    </w:p>
    <w:p w14:paraId="26C38729" w14:textId="12A08E45" w:rsidR="005040F6" w:rsidRPr="007D4016" w:rsidRDefault="005040F6" w:rsidP="005040F6">
      <w:pPr>
        <w:spacing w:after="100" w:afterAutospacing="1" w:line="240" w:lineRule="auto"/>
        <w:jc w:val="both"/>
        <w:rPr>
          <w:rFonts w:ascii="Times New Roman" w:hAnsi="Times New Roman"/>
          <w:sz w:val="24"/>
          <w:szCs w:val="24"/>
          <w:lang w:val="en-US"/>
        </w:rPr>
      </w:pPr>
      <w:r w:rsidRPr="007D4016">
        <w:rPr>
          <w:rFonts w:ascii="Times New Roman" w:hAnsi="Times New Roman"/>
          <w:sz w:val="24"/>
          <w:szCs w:val="24"/>
          <w:lang w:val="en-US"/>
        </w:rPr>
        <w:t>Tierney W. J. (</w:t>
      </w:r>
      <w:r w:rsidR="003D0BCD" w:rsidRPr="007D4016">
        <w:rPr>
          <w:rFonts w:ascii="Times New Roman" w:hAnsi="Times New Roman"/>
          <w:sz w:val="24"/>
          <w:szCs w:val="24"/>
          <w:lang w:val="en-US"/>
        </w:rPr>
        <w:t>E</w:t>
      </w:r>
      <w:r w:rsidRPr="007D4016">
        <w:rPr>
          <w:rFonts w:ascii="Times New Roman" w:hAnsi="Times New Roman"/>
          <w:sz w:val="24"/>
          <w:szCs w:val="24"/>
          <w:lang w:val="en-US"/>
        </w:rPr>
        <w:t xml:space="preserve">d.). (1998). </w:t>
      </w:r>
      <w:r w:rsidRPr="007D4016">
        <w:rPr>
          <w:rFonts w:ascii="Times New Roman" w:hAnsi="Times New Roman"/>
          <w:i/>
          <w:sz w:val="24"/>
          <w:szCs w:val="24"/>
          <w:lang w:val="en-US"/>
        </w:rPr>
        <w:t xml:space="preserve">The </w:t>
      </w:r>
      <w:r w:rsidR="00972055">
        <w:rPr>
          <w:rFonts w:ascii="Times New Roman" w:hAnsi="Times New Roman"/>
          <w:i/>
          <w:sz w:val="24"/>
          <w:szCs w:val="24"/>
          <w:lang w:val="en-US"/>
        </w:rPr>
        <w:t>r</w:t>
      </w:r>
      <w:r w:rsidRPr="007D4016">
        <w:rPr>
          <w:rFonts w:ascii="Times New Roman" w:hAnsi="Times New Roman"/>
          <w:i/>
          <w:sz w:val="24"/>
          <w:szCs w:val="24"/>
          <w:lang w:val="en-US"/>
        </w:rPr>
        <w:t xml:space="preserve">esponsive </w:t>
      </w:r>
      <w:r w:rsidR="00972055">
        <w:rPr>
          <w:rFonts w:ascii="Times New Roman" w:hAnsi="Times New Roman"/>
          <w:i/>
          <w:sz w:val="24"/>
          <w:szCs w:val="24"/>
          <w:lang w:val="en-US"/>
        </w:rPr>
        <w:t>u</w:t>
      </w:r>
      <w:r w:rsidRPr="007D4016">
        <w:rPr>
          <w:rFonts w:ascii="Times New Roman" w:hAnsi="Times New Roman"/>
          <w:i/>
          <w:sz w:val="24"/>
          <w:szCs w:val="24"/>
          <w:lang w:val="en-US"/>
        </w:rPr>
        <w:t xml:space="preserve">niversity: Restructuring for </w:t>
      </w:r>
      <w:r w:rsidR="00972055">
        <w:rPr>
          <w:rFonts w:ascii="Times New Roman" w:hAnsi="Times New Roman"/>
          <w:i/>
          <w:sz w:val="24"/>
          <w:szCs w:val="24"/>
          <w:lang w:val="en-US"/>
        </w:rPr>
        <w:t>h</w:t>
      </w:r>
      <w:r w:rsidRPr="007D4016">
        <w:rPr>
          <w:rFonts w:ascii="Times New Roman" w:hAnsi="Times New Roman"/>
          <w:i/>
          <w:sz w:val="24"/>
          <w:szCs w:val="24"/>
          <w:lang w:val="en-US"/>
        </w:rPr>
        <w:t xml:space="preserve">igh </w:t>
      </w:r>
      <w:r w:rsidR="00972055">
        <w:rPr>
          <w:rFonts w:ascii="Times New Roman" w:hAnsi="Times New Roman"/>
          <w:i/>
          <w:sz w:val="24"/>
          <w:szCs w:val="24"/>
          <w:lang w:val="en-US"/>
        </w:rPr>
        <w:t>p</w:t>
      </w:r>
      <w:r w:rsidRPr="007D4016">
        <w:rPr>
          <w:rFonts w:ascii="Times New Roman" w:hAnsi="Times New Roman"/>
          <w:i/>
          <w:sz w:val="24"/>
          <w:szCs w:val="24"/>
          <w:lang w:val="en-US"/>
        </w:rPr>
        <w:t>erformance</w:t>
      </w:r>
      <w:r w:rsidRPr="007D4016">
        <w:rPr>
          <w:rFonts w:ascii="Times New Roman" w:hAnsi="Times New Roman"/>
          <w:sz w:val="24"/>
          <w:szCs w:val="24"/>
          <w:lang w:val="en-US"/>
        </w:rPr>
        <w:t>. Baltimore, MD: John Hopkins Press.</w:t>
      </w:r>
    </w:p>
    <w:p w14:paraId="3624F1E8" w14:textId="2FBCFBFF" w:rsidR="00FC0EED" w:rsidRPr="007D4016" w:rsidRDefault="00FC0EED" w:rsidP="00FC0EED">
      <w:pPr>
        <w:spacing w:after="100" w:afterAutospacing="1" w:line="240" w:lineRule="auto"/>
        <w:jc w:val="both"/>
        <w:rPr>
          <w:rFonts w:ascii="Times New Roman" w:hAnsi="Times New Roman"/>
          <w:sz w:val="24"/>
          <w:szCs w:val="24"/>
          <w:lang w:val="en-US"/>
        </w:rPr>
      </w:pPr>
      <w:r w:rsidRPr="007D4016">
        <w:rPr>
          <w:rFonts w:ascii="Times New Roman" w:hAnsi="Times New Roman"/>
          <w:sz w:val="24"/>
          <w:szCs w:val="24"/>
          <w:lang w:val="en-US"/>
        </w:rPr>
        <w:t xml:space="preserve">Vukasović, M. (2014). How </w:t>
      </w:r>
      <w:r w:rsidR="00972055">
        <w:rPr>
          <w:rFonts w:ascii="Times New Roman" w:hAnsi="Times New Roman"/>
          <w:sz w:val="24"/>
          <w:szCs w:val="24"/>
          <w:lang w:val="en-US"/>
        </w:rPr>
        <w:t>c</w:t>
      </w:r>
      <w:r w:rsidRPr="007D4016">
        <w:rPr>
          <w:rFonts w:ascii="Times New Roman" w:hAnsi="Times New Roman"/>
          <w:sz w:val="24"/>
          <w:szCs w:val="24"/>
          <w:lang w:val="en-US"/>
        </w:rPr>
        <w:t xml:space="preserve">an and </w:t>
      </w:r>
      <w:r w:rsidR="00972055">
        <w:rPr>
          <w:rFonts w:ascii="Times New Roman" w:hAnsi="Times New Roman"/>
          <w:sz w:val="24"/>
          <w:szCs w:val="24"/>
          <w:lang w:val="en-US"/>
        </w:rPr>
        <w:t>h</w:t>
      </w:r>
      <w:r w:rsidRPr="007D4016">
        <w:rPr>
          <w:rFonts w:ascii="Times New Roman" w:hAnsi="Times New Roman"/>
          <w:sz w:val="24"/>
          <w:szCs w:val="24"/>
          <w:lang w:val="en-US"/>
        </w:rPr>
        <w:t xml:space="preserve">ow </w:t>
      </w:r>
      <w:r w:rsidR="00972055">
        <w:rPr>
          <w:rFonts w:ascii="Times New Roman" w:hAnsi="Times New Roman"/>
          <w:sz w:val="24"/>
          <w:szCs w:val="24"/>
          <w:lang w:val="en-US"/>
        </w:rPr>
        <w:t>d</w:t>
      </w:r>
      <w:r w:rsidRPr="007D4016">
        <w:rPr>
          <w:rFonts w:ascii="Times New Roman" w:hAnsi="Times New Roman"/>
          <w:sz w:val="24"/>
          <w:szCs w:val="24"/>
          <w:lang w:val="en-US"/>
        </w:rPr>
        <w:t xml:space="preserve">oes Europe </w:t>
      </w:r>
      <w:r w:rsidR="00972055">
        <w:rPr>
          <w:rFonts w:ascii="Times New Roman" w:hAnsi="Times New Roman"/>
          <w:sz w:val="24"/>
          <w:szCs w:val="24"/>
          <w:lang w:val="en-US"/>
        </w:rPr>
        <w:t>m</w:t>
      </w:r>
      <w:r w:rsidRPr="007D4016">
        <w:rPr>
          <w:rFonts w:ascii="Times New Roman" w:hAnsi="Times New Roman"/>
          <w:sz w:val="24"/>
          <w:szCs w:val="24"/>
          <w:lang w:val="en-US"/>
        </w:rPr>
        <w:t xml:space="preserve">atter? In J. Branković, M. Kovačević, P. Maassen, B. Stensaker &amp; M. Vukasović (Eds.), </w:t>
      </w:r>
      <w:r w:rsidRPr="007D4016">
        <w:rPr>
          <w:rFonts w:ascii="Times New Roman" w:hAnsi="Times New Roman"/>
          <w:i/>
          <w:sz w:val="24"/>
          <w:szCs w:val="24"/>
          <w:lang w:val="en-US"/>
        </w:rPr>
        <w:t xml:space="preserve">The </w:t>
      </w:r>
      <w:r w:rsidR="00972055">
        <w:rPr>
          <w:rFonts w:ascii="Times New Roman" w:hAnsi="Times New Roman"/>
          <w:i/>
          <w:sz w:val="24"/>
          <w:szCs w:val="24"/>
          <w:lang w:val="en-US"/>
        </w:rPr>
        <w:t>r</w:t>
      </w:r>
      <w:r w:rsidRPr="007D4016">
        <w:rPr>
          <w:rFonts w:ascii="Times New Roman" w:hAnsi="Times New Roman"/>
          <w:i/>
          <w:sz w:val="24"/>
          <w:szCs w:val="24"/>
          <w:lang w:val="en-US"/>
        </w:rPr>
        <w:t>e-</w:t>
      </w:r>
      <w:r w:rsidR="00972055">
        <w:rPr>
          <w:rFonts w:ascii="Times New Roman" w:hAnsi="Times New Roman"/>
          <w:i/>
          <w:sz w:val="24"/>
          <w:szCs w:val="24"/>
          <w:lang w:val="en-US"/>
        </w:rPr>
        <w:t>i</w:t>
      </w:r>
      <w:r w:rsidRPr="007D4016">
        <w:rPr>
          <w:rFonts w:ascii="Times New Roman" w:hAnsi="Times New Roman"/>
          <w:i/>
          <w:sz w:val="24"/>
          <w:szCs w:val="24"/>
          <w:lang w:val="en-US"/>
        </w:rPr>
        <w:t xml:space="preserve">nstitutionalization of </w:t>
      </w:r>
      <w:r w:rsidR="00972055">
        <w:rPr>
          <w:rFonts w:ascii="Times New Roman" w:hAnsi="Times New Roman"/>
          <w:i/>
          <w:sz w:val="24"/>
          <w:szCs w:val="24"/>
          <w:lang w:val="en-US"/>
        </w:rPr>
        <w:t>h</w:t>
      </w:r>
      <w:r w:rsidRPr="007D4016">
        <w:rPr>
          <w:rFonts w:ascii="Times New Roman" w:hAnsi="Times New Roman"/>
          <w:i/>
          <w:sz w:val="24"/>
          <w:szCs w:val="24"/>
          <w:lang w:val="en-US"/>
        </w:rPr>
        <w:t xml:space="preserve">igher </w:t>
      </w:r>
      <w:r w:rsidR="00972055">
        <w:rPr>
          <w:rFonts w:ascii="Times New Roman" w:hAnsi="Times New Roman"/>
          <w:i/>
          <w:sz w:val="24"/>
          <w:szCs w:val="24"/>
          <w:lang w:val="en-US"/>
        </w:rPr>
        <w:t>e</w:t>
      </w:r>
      <w:r w:rsidRPr="007D4016">
        <w:rPr>
          <w:rFonts w:ascii="Times New Roman" w:hAnsi="Times New Roman"/>
          <w:i/>
          <w:sz w:val="24"/>
          <w:szCs w:val="24"/>
          <w:lang w:val="en-US"/>
        </w:rPr>
        <w:t>ducation in the Western Balkans</w:t>
      </w:r>
      <w:r w:rsidR="00972055">
        <w:rPr>
          <w:rFonts w:ascii="Times New Roman" w:hAnsi="Times New Roman"/>
          <w:i/>
          <w:sz w:val="24"/>
          <w:szCs w:val="24"/>
          <w:lang w:val="en-US"/>
        </w:rPr>
        <w:t>:</w:t>
      </w:r>
      <w:r w:rsidRPr="007D4016">
        <w:rPr>
          <w:rFonts w:ascii="Times New Roman" w:hAnsi="Times New Roman"/>
          <w:i/>
          <w:sz w:val="24"/>
          <w:szCs w:val="24"/>
          <w:lang w:val="en-US"/>
        </w:rPr>
        <w:t xml:space="preserve"> The interplay between European ideas, domestic policies, and institutional practices</w:t>
      </w:r>
      <w:r w:rsidRPr="007D4016">
        <w:rPr>
          <w:rFonts w:ascii="Times New Roman" w:hAnsi="Times New Roman"/>
          <w:sz w:val="24"/>
          <w:szCs w:val="24"/>
          <w:lang w:val="en-US"/>
        </w:rPr>
        <w:t xml:space="preserve"> (pp. 19-60). Frankfurt am Main: Peter Lang. </w:t>
      </w:r>
    </w:p>
    <w:p w14:paraId="42612C18" w14:textId="5343B157" w:rsidR="005040F6" w:rsidRPr="007D4016" w:rsidRDefault="005040F6" w:rsidP="005040F6">
      <w:pPr>
        <w:spacing w:after="100" w:afterAutospacing="1" w:line="240" w:lineRule="auto"/>
        <w:jc w:val="both"/>
        <w:rPr>
          <w:rFonts w:ascii="Times New Roman" w:hAnsi="Times New Roman"/>
          <w:sz w:val="24"/>
          <w:szCs w:val="24"/>
          <w:lang w:val="en-US"/>
        </w:rPr>
      </w:pPr>
      <w:bookmarkStart w:id="1" w:name="14"/>
      <w:bookmarkEnd w:id="1"/>
      <w:r w:rsidRPr="007D4016">
        <w:rPr>
          <w:rFonts w:ascii="Times New Roman" w:hAnsi="Times New Roman"/>
          <w:sz w:val="24"/>
          <w:szCs w:val="24"/>
          <w:lang w:val="en-US"/>
        </w:rPr>
        <w:t xml:space="preserve">Zgaga, P., Klemenčič, M., Komljenovič, J., Miklavič, K., Repac, I., Jakačić, V. (2012). </w:t>
      </w:r>
      <w:r w:rsidRPr="007D4016">
        <w:rPr>
          <w:rFonts w:ascii="Times New Roman" w:hAnsi="Times New Roman"/>
          <w:i/>
          <w:sz w:val="24"/>
          <w:szCs w:val="24"/>
          <w:lang w:val="en-US"/>
        </w:rPr>
        <w:t xml:space="preserve">Differentiation, </w:t>
      </w:r>
      <w:r w:rsidR="001648D7">
        <w:rPr>
          <w:rFonts w:ascii="Times New Roman" w:hAnsi="Times New Roman"/>
          <w:i/>
          <w:sz w:val="24"/>
          <w:szCs w:val="24"/>
          <w:lang w:val="en-US"/>
        </w:rPr>
        <w:t>e</w:t>
      </w:r>
      <w:r w:rsidRPr="007D4016">
        <w:rPr>
          <w:rFonts w:ascii="Times New Roman" w:hAnsi="Times New Roman"/>
          <w:i/>
          <w:sz w:val="24"/>
          <w:szCs w:val="24"/>
          <w:lang w:val="en-US"/>
        </w:rPr>
        <w:t xml:space="preserve">quity, </w:t>
      </w:r>
      <w:r w:rsidR="001648D7">
        <w:rPr>
          <w:rFonts w:ascii="Times New Roman" w:hAnsi="Times New Roman"/>
          <w:i/>
          <w:sz w:val="24"/>
          <w:szCs w:val="24"/>
          <w:lang w:val="en-US"/>
        </w:rPr>
        <w:t>p</w:t>
      </w:r>
      <w:r w:rsidRPr="007D4016">
        <w:rPr>
          <w:rFonts w:ascii="Times New Roman" w:hAnsi="Times New Roman"/>
          <w:i/>
          <w:sz w:val="24"/>
          <w:szCs w:val="24"/>
          <w:lang w:val="en-US"/>
        </w:rPr>
        <w:t xml:space="preserve">roductivity: </w:t>
      </w:r>
      <w:r w:rsidR="001648D7">
        <w:rPr>
          <w:rFonts w:ascii="Times New Roman" w:hAnsi="Times New Roman"/>
          <w:i/>
          <w:sz w:val="24"/>
          <w:szCs w:val="24"/>
          <w:lang w:val="en-US"/>
        </w:rPr>
        <w:t>T</w:t>
      </w:r>
      <w:r w:rsidRPr="007D4016">
        <w:rPr>
          <w:rFonts w:ascii="Times New Roman" w:hAnsi="Times New Roman"/>
          <w:i/>
          <w:sz w:val="24"/>
          <w:szCs w:val="24"/>
          <w:lang w:val="en-US"/>
        </w:rPr>
        <w:t>he social and economic consequences of expanded and differentiated higher education systems – internationalisation aspects (DEP-08-EuroHESC-OP-016). The Western Balkans Survey (January 2012 – June 2012). First results</w:t>
      </w:r>
      <w:r w:rsidRPr="007D4016">
        <w:rPr>
          <w:rFonts w:ascii="Times New Roman" w:hAnsi="Times New Roman"/>
          <w:sz w:val="24"/>
          <w:szCs w:val="24"/>
          <w:lang w:val="en-US"/>
        </w:rPr>
        <w:t>. Internal materials. Ljubljana: Centre for Educational Policy Studies. August 2012.</w:t>
      </w:r>
    </w:p>
    <w:p w14:paraId="24E57441" w14:textId="77777777" w:rsidR="005040F6" w:rsidRPr="007D4016" w:rsidRDefault="005040F6" w:rsidP="005040F6">
      <w:pPr>
        <w:spacing w:after="100" w:afterAutospacing="1" w:line="240" w:lineRule="auto"/>
        <w:jc w:val="both"/>
        <w:rPr>
          <w:rFonts w:ascii="Times New Roman" w:hAnsi="Times New Roman"/>
          <w:sz w:val="24"/>
          <w:szCs w:val="24"/>
          <w:shd w:val="clear" w:color="auto" w:fill="FFFFFF"/>
          <w:lang w:val="en-US"/>
        </w:rPr>
      </w:pPr>
      <w:r w:rsidRPr="007D4016">
        <w:rPr>
          <w:rFonts w:ascii="Times New Roman" w:hAnsi="Times New Roman"/>
          <w:sz w:val="24"/>
          <w:szCs w:val="24"/>
          <w:shd w:val="clear" w:color="auto" w:fill="FFFFFF"/>
          <w:lang w:val="en-US"/>
        </w:rPr>
        <w:t xml:space="preserve">Zgaga, P., Klemenčič, M., Komljenovič, J., Miklavič, K., Repac, I., Jakačić, V. (2013). </w:t>
      </w:r>
      <w:r w:rsidRPr="007D4016">
        <w:rPr>
          <w:rFonts w:ascii="Times New Roman" w:hAnsi="Times New Roman"/>
          <w:i/>
          <w:sz w:val="24"/>
          <w:szCs w:val="24"/>
          <w:shd w:val="clear" w:color="auto" w:fill="FFFFFF"/>
          <w:lang w:val="en-US"/>
        </w:rPr>
        <w:t>Higher education in the Western Balkans: Reforms, developments, trends. Key findings from field research. </w:t>
      </w:r>
      <w:r w:rsidRPr="007D4016">
        <w:rPr>
          <w:rFonts w:ascii="Times New Roman" w:hAnsi="Times New Roman"/>
          <w:sz w:val="24"/>
          <w:szCs w:val="24"/>
          <w:shd w:val="clear" w:color="auto" w:fill="FFFFFF"/>
          <w:lang w:val="en-US"/>
        </w:rPr>
        <w:t>Ljubljana: Centre for Educational Policy Studies, Faculty of Education, University of Ljubljana. June 2013.</w:t>
      </w:r>
    </w:p>
    <w:p w14:paraId="11A9ABCC" w14:textId="478D38A8" w:rsidR="005040F6" w:rsidRPr="007D4016" w:rsidRDefault="005040F6" w:rsidP="005040F6">
      <w:pPr>
        <w:spacing w:after="100" w:afterAutospacing="1" w:line="240" w:lineRule="auto"/>
        <w:jc w:val="both"/>
        <w:rPr>
          <w:rFonts w:ascii="Times New Roman" w:hAnsi="Times New Roman"/>
          <w:sz w:val="24"/>
          <w:szCs w:val="24"/>
          <w:shd w:val="clear" w:color="auto" w:fill="FFFFFF"/>
          <w:lang w:val="en-US"/>
        </w:rPr>
      </w:pPr>
      <w:r w:rsidRPr="007D4016">
        <w:rPr>
          <w:rFonts w:ascii="Times New Roman" w:hAnsi="Times New Roman"/>
          <w:sz w:val="24"/>
          <w:szCs w:val="24"/>
          <w:shd w:val="clear" w:color="auto" w:fill="FFFFFF"/>
          <w:lang w:val="en-US"/>
        </w:rPr>
        <w:t xml:space="preserve">Zgaga, P. (2013). </w:t>
      </w:r>
      <w:r w:rsidRPr="007D4016">
        <w:rPr>
          <w:rFonts w:ascii="Times New Roman" w:hAnsi="Times New Roman"/>
          <w:sz w:val="24"/>
          <w:szCs w:val="24"/>
          <w:lang w:val="en-US"/>
        </w:rPr>
        <w:t>Reconsidering higher education reforms in the Western Balkans: 'policy colonies' or 'policy autarchies'?</w:t>
      </w:r>
      <w:r w:rsidRPr="007D4016">
        <w:rPr>
          <w:rFonts w:ascii="Times New Roman" w:hAnsi="Times New Roman"/>
          <w:sz w:val="24"/>
          <w:szCs w:val="24"/>
          <w:shd w:val="clear" w:color="auto" w:fill="FFFFFF"/>
          <w:lang w:val="en-US"/>
        </w:rPr>
        <w:t xml:space="preserve"> In Zgaga, P., Teichler, U. and Brennan, J. (</w:t>
      </w:r>
      <w:r w:rsidR="001648D7">
        <w:rPr>
          <w:rFonts w:ascii="Times New Roman" w:hAnsi="Times New Roman"/>
          <w:sz w:val="24"/>
          <w:szCs w:val="24"/>
          <w:shd w:val="clear" w:color="auto" w:fill="FFFFFF"/>
          <w:lang w:val="en-US"/>
        </w:rPr>
        <w:t>E</w:t>
      </w:r>
      <w:r w:rsidRPr="007D4016">
        <w:rPr>
          <w:rFonts w:ascii="Times New Roman" w:hAnsi="Times New Roman"/>
          <w:sz w:val="24"/>
          <w:szCs w:val="24"/>
          <w:shd w:val="clear" w:color="auto" w:fill="FFFFFF"/>
          <w:lang w:val="en-US"/>
        </w:rPr>
        <w:t>ds.)</w:t>
      </w:r>
      <w:r w:rsidR="001648D7">
        <w:rPr>
          <w:rFonts w:ascii="Times New Roman" w:hAnsi="Times New Roman"/>
          <w:sz w:val="24"/>
          <w:szCs w:val="24"/>
          <w:shd w:val="clear" w:color="auto" w:fill="FFFFFF"/>
          <w:lang w:val="en-US"/>
        </w:rPr>
        <w:t>,</w:t>
      </w:r>
      <w:r w:rsidRPr="007D4016">
        <w:rPr>
          <w:rFonts w:ascii="Times New Roman" w:hAnsi="Times New Roman"/>
          <w:sz w:val="24"/>
          <w:szCs w:val="24"/>
          <w:shd w:val="clear" w:color="auto" w:fill="FFFFFF"/>
          <w:lang w:val="en-US"/>
        </w:rPr>
        <w:t xml:space="preserve"> </w:t>
      </w:r>
      <w:r w:rsidRPr="007D4016">
        <w:rPr>
          <w:rStyle w:val="Emphasis"/>
          <w:rFonts w:ascii="Times New Roman" w:hAnsi="Times New Roman"/>
          <w:sz w:val="24"/>
          <w:szCs w:val="24"/>
          <w:shd w:val="clear" w:color="auto" w:fill="FFFFFF"/>
          <w:lang w:val="en-US"/>
        </w:rPr>
        <w:t xml:space="preserve">The globalisation challenge for European Higher Education: Convergence and diversity, centres and peripheries </w:t>
      </w:r>
      <w:r w:rsidRPr="007D4016">
        <w:rPr>
          <w:rStyle w:val="Emphasis"/>
          <w:rFonts w:ascii="Times New Roman" w:hAnsi="Times New Roman"/>
          <w:i w:val="0"/>
          <w:sz w:val="24"/>
          <w:szCs w:val="24"/>
          <w:shd w:val="clear" w:color="auto" w:fill="FFFFFF"/>
          <w:lang w:val="en-US"/>
        </w:rPr>
        <w:t>(p</w:t>
      </w:r>
      <w:r w:rsidRPr="007D4016">
        <w:rPr>
          <w:rFonts w:ascii="Times New Roman" w:hAnsi="Times New Roman"/>
          <w:sz w:val="24"/>
          <w:szCs w:val="24"/>
          <w:shd w:val="clear" w:color="auto" w:fill="FFFFFF"/>
          <w:lang w:val="en-US"/>
        </w:rPr>
        <w:t xml:space="preserve">p. </w:t>
      </w:r>
      <w:r w:rsidRPr="007D4016">
        <w:rPr>
          <w:rFonts w:ascii="Times New Roman" w:hAnsi="Times New Roman"/>
          <w:sz w:val="24"/>
          <w:szCs w:val="24"/>
          <w:lang w:val="en-US"/>
        </w:rPr>
        <w:t>347-370</w:t>
      </w:r>
      <w:r w:rsidRPr="007D4016">
        <w:rPr>
          <w:rFonts w:ascii="Times New Roman" w:hAnsi="Times New Roman"/>
          <w:sz w:val="24"/>
          <w:szCs w:val="24"/>
          <w:shd w:val="clear" w:color="auto" w:fill="FFFFFF"/>
          <w:lang w:val="en-US"/>
        </w:rPr>
        <w:t>). Frankfurt: Peter Lang.</w:t>
      </w:r>
    </w:p>
    <w:p w14:paraId="75823047" w14:textId="57490998" w:rsidR="003222CA" w:rsidRPr="007D4016" w:rsidRDefault="005040F6" w:rsidP="00691469">
      <w:pPr>
        <w:spacing w:after="100" w:afterAutospacing="1" w:line="240" w:lineRule="auto"/>
        <w:jc w:val="both"/>
        <w:rPr>
          <w:rFonts w:ascii="Times New Roman" w:hAnsi="Times New Roman"/>
          <w:sz w:val="24"/>
          <w:szCs w:val="24"/>
          <w:lang w:val="en-US"/>
        </w:rPr>
      </w:pPr>
      <w:r w:rsidRPr="007D4016">
        <w:rPr>
          <w:rFonts w:ascii="Times New Roman" w:hAnsi="Times New Roman"/>
          <w:sz w:val="24"/>
          <w:szCs w:val="24"/>
          <w:shd w:val="clear" w:color="auto" w:fill="FFFFFF"/>
          <w:lang w:val="en-US"/>
        </w:rPr>
        <w:t xml:space="preserve">Zumeta, W. (1997). State </w:t>
      </w:r>
      <w:r w:rsidR="001648D7">
        <w:rPr>
          <w:rFonts w:ascii="Times New Roman" w:hAnsi="Times New Roman"/>
          <w:sz w:val="24"/>
          <w:szCs w:val="24"/>
          <w:shd w:val="clear" w:color="auto" w:fill="FFFFFF"/>
          <w:lang w:val="en-US"/>
        </w:rPr>
        <w:t>p</w:t>
      </w:r>
      <w:r w:rsidRPr="007D4016">
        <w:rPr>
          <w:rFonts w:ascii="Times New Roman" w:hAnsi="Times New Roman"/>
          <w:sz w:val="24"/>
          <w:szCs w:val="24"/>
          <w:shd w:val="clear" w:color="auto" w:fill="FFFFFF"/>
          <w:lang w:val="en-US"/>
        </w:rPr>
        <w:t xml:space="preserve">olicies and </w:t>
      </w:r>
      <w:r w:rsidR="001648D7">
        <w:rPr>
          <w:rFonts w:ascii="Times New Roman" w:hAnsi="Times New Roman"/>
          <w:sz w:val="24"/>
          <w:szCs w:val="24"/>
          <w:shd w:val="clear" w:color="auto" w:fill="FFFFFF"/>
          <w:lang w:val="en-US"/>
        </w:rPr>
        <w:t>p</w:t>
      </w:r>
      <w:r w:rsidRPr="007D4016">
        <w:rPr>
          <w:rFonts w:ascii="Times New Roman" w:hAnsi="Times New Roman"/>
          <w:sz w:val="24"/>
          <w:szCs w:val="24"/>
          <w:shd w:val="clear" w:color="auto" w:fill="FFFFFF"/>
          <w:lang w:val="en-US"/>
        </w:rPr>
        <w:t xml:space="preserve">rivate </w:t>
      </w:r>
      <w:r w:rsidR="001648D7">
        <w:rPr>
          <w:rFonts w:ascii="Times New Roman" w:hAnsi="Times New Roman"/>
          <w:sz w:val="24"/>
          <w:szCs w:val="24"/>
          <w:shd w:val="clear" w:color="auto" w:fill="FFFFFF"/>
          <w:lang w:val="en-US"/>
        </w:rPr>
        <w:t>h</w:t>
      </w:r>
      <w:r w:rsidRPr="007D4016">
        <w:rPr>
          <w:rFonts w:ascii="Times New Roman" w:hAnsi="Times New Roman"/>
          <w:sz w:val="24"/>
          <w:szCs w:val="24"/>
          <w:shd w:val="clear" w:color="auto" w:fill="FFFFFF"/>
          <w:lang w:val="en-US"/>
        </w:rPr>
        <w:t xml:space="preserve">igher </w:t>
      </w:r>
      <w:r w:rsidR="001648D7">
        <w:rPr>
          <w:rFonts w:ascii="Times New Roman" w:hAnsi="Times New Roman"/>
          <w:sz w:val="24"/>
          <w:szCs w:val="24"/>
          <w:shd w:val="clear" w:color="auto" w:fill="FFFFFF"/>
          <w:lang w:val="en-US"/>
        </w:rPr>
        <w:t>e</w:t>
      </w:r>
      <w:r w:rsidRPr="007D4016">
        <w:rPr>
          <w:rFonts w:ascii="Times New Roman" w:hAnsi="Times New Roman"/>
          <w:sz w:val="24"/>
          <w:szCs w:val="24"/>
          <w:shd w:val="clear" w:color="auto" w:fill="FFFFFF"/>
          <w:lang w:val="en-US"/>
        </w:rPr>
        <w:t xml:space="preserve">ducation: Past, </w:t>
      </w:r>
      <w:r w:rsidR="001648D7">
        <w:rPr>
          <w:rFonts w:ascii="Times New Roman" w:hAnsi="Times New Roman"/>
          <w:sz w:val="24"/>
          <w:szCs w:val="24"/>
          <w:shd w:val="clear" w:color="auto" w:fill="FFFFFF"/>
          <w:lang w:val="en-US"/>
        </w:rPr>
        <w:t>p</w:t>
      </w:r>
      <w:r w:rsidRPr="007D4016">
        <w:rPr>
          <w:rFonts w:ascii="Times New Roman" w:hAnsi="Times New Roman"/>
          <w:sz w:val="24"/>
          <w:szCs w:val="24"/>
          <w:shd w:val="clear" w:color="auto" w:fill="FFFFFF"/>
          <w:lang w:val="en-US"/>
        </w:rPr>
        <w:t xml:space="preserve">resent and </w:t>
      </w:r>
      <w:r w:rsidR="001648D7">
        <w:rPr>
          <w:rFonts w:ascii="Times New Roman" w:hAnsi="Times New Roman"/>
          <w:sz w:val="24"/>
          <w:szCs w:val="24"/>
          <w:shd w:val="clear" w:color="auto" w:fill="FFFFFF"/>
          <w:lang w:val="en-US"/>
        </w:rPr>
        <w:t>f</w:t>
      </w:r>
      <w:r w:rsidRPr="007D4016">
        <w:rPr>
          <w:rFonts w:ascii="Times New Roman" w:hAnsi="Times New Roman"/>
          <w:sz w:val="24"/>
          <w:szCs w:val="24"/>
          <w:shd w:val="clear" w:color="auto" w:fill="FFFFFF"/>
          <w:lang w:val="en-US"/>
        </w:rPr>
        <w:t xml:space="preserve">uture. In J. C. Smart (Ed.), </w:t>
      </w:r>
      <w:r w:rsidRPr="007D4016">
        <w:rPr>
          <w:rFonts w:ascii="Times New Roman" w:hAnsi="Times New Roman"/>
          <w:i/>
          <w:sz w:val="24"/>
          <w:szCs w:val="24"/>
          <w:shd w:val="clear" w:color="auto" w:fill="FFFFFF"/>
          <w:lang w:val="en-US"/>
        </w:rPr>
        <w:t xml:space="preserve">Higher </w:t>
      </w:r>
      <w:r w:rsidR="001648D7">
        <w:rPr>
          <w:rFonts w:ascii="Times New Roman" w:hAnsi="Times New Roman"/>
          <w:i/>
          <w:sz w:val="24"/>
          <w:szCs w:val="24"/>
          <w:shd w:val="clear" w:color="auto" w:fill="FFFFFF"/>
          <w:lang w:val="en-US"/>
        </w:rPr>
        <w:t>e</w:t>
      </w:r>
      <w:r w:rsidRPr="007D4016">
        <w:rPr>
          <w:rFonts w:ascii="Times New Roman" w:hAnsi="Times New Roman"/>
          <w:i/>
          <w:sz w:val="24"/>
          <w:szCs w:val="24"/>
          <w:shd w:val="clear" w:color="auto" w:fill="FFFFFF"/>
          <w:lang w:val="en-US"/>
        </w:rPr>
        <w:t xml:space="preserve">ducation: Handbook of </w:t>
      </w:r>
      <w:r w:rsidR="001648D7">
        <w:rPr>
          <w:rFonts w:ascii="Times New Roman" w:hAnsi="Times New Roman"/>
          <w:i/>
          <w:sz w:val="24"/>
          <w:szCs w:val="24"/>
          <w:shd w:val="clear" w:color="auto" w:fill="FFFFFF"/>
          <w:lang w:val="en-US"/>
        </w:rPr>
        <w:t>t</w:t>
      </w:r>
      <w:r w:rsidRPr="007D4016">
        <w:rPr>
          <w:rFonts w:ascii="Times New Roman" w:hAnsi="Times New Roman"/>
          <w:i/>
          <w:sz w:val="24"/>
          <w:szCs w:val="24"/>
          <w:shd w:val="clear" w:color="auto" w:fill="FFFFFF"/>
          <w:lang w:val="en-US"/>
        </w:rPr>
        <w:t xml:space="preserve">heory and </w:t>
      </w:r>
      <w:r w:rsidR="001648D7">
        <w:rPr>
          <w:rFonts w:ascii="Times New Roman" w:hAnsi="Times New Roman"/>
          <w:i/>
          <w:sz w:val="24"/>
          <w:szCs w:val="24"/>
          <w:shd w:val="clear" w:color="auto" w:fill="FFFFFF"/>
          <w:lang w:val="en-US"/>
        </w:rPr>
        <w:t>r</w:t>
      </w:r>
      <w:r w:rsidRPr="007D4016">
        <w:rPr>
          <w:rFonts w:ascii="Times New Roman" w:hAnsi="Times New Roman"/>
          <w:i/>
          <w:sz w:val="24"/>
          <w:szCs w:val="24"/>
          <w:shd w:val="clear" w:color="auto" w:fill="FFFFFF"/>
          <w:lang w:val="en-US"/>
        </w:rPr>
        <w:t>esearch</w:t>
      </w:r>
      <w:r w:rsidRPr="007D4016">
        <w:rPr>
          <w:rFonts w:ascii="Times New Roman" w:hAnsi="Times New Roman"/>
          <w:sz w:val="24"/>
          <w:szCs w:val="24"/>
          <w:shd w:val="clear" w:color="auto" w:fill="FFFFFF"/>
          <w:lang w:val="en-US"/>
        </w:rPr>
        <w:t xml:space="preserve"> (Vol. XII, pp. 43-106). New York: Agathon Press. </w:t>
      </w:r>
    </w:p>
    <w:sectPr w:rsidR="003222CA" w:rsidRPr="007D4016" w:rsidSect="00E42EF4">
      <w:footerReference w:type="default" r:id="rId4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BB19D6" w14:textId="77777777" w:rsidR="009C4209" w:rsidRDefault="009C4209" w:rsidP="00993D16">
      <w:pPr>
        <w:spacing w:after="0" w:line="240" w:lineRule="auto"/>
      </w:pPr>
      <w:r>
        <w:separator/>
      </w:r>
    </w:p>
  </w:endnote>
  <w:endnote w:type="continuationSeparator" w:id="0">
    <w:p w14:paraId="4FD4CFC2" w14:textId="77777777" w:rsidR="009C4209" w:rsidRDefault="009C4209" w:rsidP="00993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Open Sans">
    <w:altName w:val="Cambri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417024"/>
      <w:docPartObj>
        <w:docPartGallery w:val="Page Numbers (Bottom of Page)"/>
        <w:docPartUnique/>
      </w:docPartObj>
    </w:sdtPr>
    <w:sdtEndPr>
      <w:rPr>
        <w:noProof/>
      </w:rPr>
    </w:sdtEndPr>
    <w:sdtContent>
      <w:p w14:paraId="058E3005" w14:textId="77777777" w:rsidR="0014186D" w:rsidRDefault="0014186D">
        <w:pPr>
          <w:pStyle w:val="Footer"/>
          <w:jc w:val="center"/>
        </w:pPr>
        <w:r>
          <w:fldChar w:fldCharType="begin"/>
        </w:r>
        <w:r>
          <w:instrText xml:space="preserve"> PAGE   \* MERGEFORMAT </w:instrText>
        </w:r>
        <w:r>
          <w:fldChar w:fldCharType="separate"/>
        </w:r>
        <w:r w:rsidR="009C4209">
          <w:rPr>
            <w:noProof/>
          </w:rPr>
          <w:t>1</w:t>
        </w:r>
        <w:r>
          <w:rPr>
            <w:noProof/>
          </w:rPr>
          <w:fldChar w:fldCharType="end"/>
        </w:r>
      </w:p>
    </w:sdtContent>
  </w:sdt>
  <w:p w14:paraId="3AD4DB0D" w14:textId="77777777" w:rsidR="0014186D" w:rsidRDefault="00141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486F1" w14:textId="77777777" w:rsidR="009C4209" w:rsidRDefault="009C4209" w:rsidP="00993D16">
      <w:pPr>
        <w:spacing w:after="0" w:line="240" w:lineRule="auto"/>
      </w:pPr>
      <w:r>
        <w:separator/>
      </w:r>
    </w:p>
  </w:footnote>
  <w:footnote w:type="continuationSeparator" w:id="0">
    <w:p w14:paraId="7712915C" w14:textId="77777777" w:rsidR="009C4209" w:rsidRDefault="009C4209" w:rsidP="00993D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D16"/>
    <w:rsid w:val="000118FD"/>
    <w:rsid w:val="00016069"/>
    <w:rsid w:val="0002671B"/>
    <w:rsid w:val="00026BF7"/>
    <w:rsid w:val="0004646F"/>
    <w:rsid w:val="000579B8"/>
    <w:rsid w:val="00073BA7"/>
    <w:rsid w:val="00093FC5"/>
    <w:rsid w:val="000A145B"/>
    <w:rsid w:val="000A1E87"/>
    <w:rsid w:val="000B7CE1"/>
    <w:rsid w:val="000C53AF"/>
    <w:rsid w:val="000C5EBC"/>
    <w:rsid w:val="000C5ECF"/>
    <w:rsid w:val="000D2C40"/>
    <w:rsid w:val="000D67E4"/>
    <w:rsid w:val="000D7FCB"/>
    <w:rsid w:val="000E3E98"/>
    <w:rsid w:val="000F3B81"/>
    <w:rsid w:val="000F4BEE"/>
    <w:rsid w:val="000F7A84"/>
    <w:rsid w:val="0010187E"/>
    <w:rsid w:val="00103CB1"/>
    <w:rsid w:val="0010580A"/>
    <w:rsid w:val="00112EA2"/>
    <w:rsid w:val="0011423F"/>
    <w:rsid w:val="00114C94"/>
    <w:rsid w:val="001158AB"/>
    <w:rsid w:val="00116F14"/>
    <w:rsid w:val="00130F48"/>
    <w:rsid w:val="0014186D"/>
    <w:rsid w:val="001648D7"/>
    <w:rsid w:val="00165595"/>
    <w:rsid w:val="00166222"/>
    <w:rsid w:val="00181735"/>
    <w:rsid w:val="001872AE"/>
    <w:rsid w:val="00187B63"/>
    <w:rsid w:val="00190063"/>
    <w:rsid w:val="001957BC"/>
    <w:rsid w:val="001957EF"/>
    <w:rsid w:val="001969E0"/>
    <w:rsid w:val="001B0C44"/>
    <w:rsid w:val="001B26C2"/>
    <w:rsid w:val="001C60CA"/>
    <w:rsid w:val="001C7A5A"/>
    <w:rsid w:val="001D4D23"/>
    <w:rsid w:val="001D6AD0"/>
    <w:rsid w:val="001E0163"/>
    <w:rsid w:val="001F307E"/>
    <w:rsid w:val="001F617F"/>
    <w:rsid w:val="00201545"/>
    <w:rsid w:val="002077CC"/>
    <w:rsid w:val="00210DE1"/>
    <w:rsid w:val="00211D7B"/>
    <w:rsid w:val="00215834"/>
    <w:rsid w:val="00222DC0"/>
    <w:rsid w:val="00226F1E"/>
    <w:rsid w:val="0023118E"/>
    <w:rsid w:val="002353BE"/>
    <w:rsid w:val="002369C0"/>
    <w:rsid w:val="00243F2D"/>
    <w:rsid w:val="0024582D"/>
    <w:rsid w:val="00247F0D"/>
    <w:rsid w:val="00254E87"/>
    <w:rsid w:val="00264100"/>
    <w:rsid w:val="00280D09"/>
    <w:rsid w:val="00282E9A"/>
    <w:rsid w:val="002847B5"/>
    <w:rsid w:val="00286EFF"/>
    <w:rsid w:val="002962A3"/>
    <w:rsid w:val="002A05B9"/>
    <w:rsid w:val="002A0C23"/>
    <w:rsid w:val="002A2CDF"/>
    <w:rsid w:val="002B1836"/>
    <w:rsid w:val="002B42D4"/>
    <w:rsid w:val="002B65AA"/>
    <w:rsid w:val="002C4E5F"/>
    <w:rsid w:val="002D20CB"/>
    <w:rsid w:val="002E43D3"/>
    <w:rsid w:val="002E697E"/>
    <w:rsid w:val="002F0A25"/>
    <w:rsid w:val="0030075E"/>
    <w:rsid w:val="00307199"/>
    <w:rsid w:val="00315C74"/>
    <w:rsid w:val="003222CA"/>
    <w:rsid w:val="00332E9D"/>
    <w:rsid w:val="0034237D"/>
    <w:rsid w:val="00352058"/>
    <w:rsid w:val="00356DF7"/>
    <w:rsid w:val="00362611"/>
    <w:rsid w:val="00371015"/>
    <w:rsid w:val="00385D04"/>
    <w:rsid w:val="003957BC"/>
    <w:rsid w:val="0039713A"/>
    <w:rsid w:val="003A10DC"/>
    <w:rsid w:val="003A51C9"/>
    <w:rsid w:val="003B1A25"/>
    <w:rsid w:val="003B6FD0"/>
    <w:rsid w:val="003C0737"/>
    <w:rsid w:val="003C2216"/>
    <w:rsid w:val="003C5928"/>
    <w:rsid w:val="003C6F4D"/>
    <w:rsid w:val="003D0463"/>
    <w:rsid w:val="003D0BCD"/>
    <w:rsid w:val="003D41D8"/>
    <w:rsid w:val="003D4B6E"/>
    <w:rsid w:val="003D52B6"/>
    <w:rsid w:val="003E1D3B"/>
    <w:rsid w:val="003E42A8"/>
    <w:rsid w:val="003E5340"/>
    <w:rsid w:val="003F0752"/>
    <w:rsid w:val="003F18C9"/>
    <w:rsid w:val="003F32C6"/>
    <w:rsid w:val="00402D69"/>
    <w:rsid w:val="0040482E"/>
    <w:rsid w:val="00425363"/>
    <w:rsid w:val="004475C5"/>
    <w:rsid w:val="00456DE6"/>
    <w:rsid w:val="00460D32"/>
    <w:rsid w:val="00465C06"/>
    <w:rsid w:val="004667C8"/>
    <w:rsid w:val="00467422"/>
    <w:rsid w:val="0047759B"/>
    <w:rsid w:val="004A5CAB"/>
    <w:rsid w:val="004B0627"/>
    <w:rsid w:val="004B2E9E"/>
    <w:rsid w:val="004B6005"/>
    <w:rsid w:val="004C2254"/>
    <w:rsid w:val="004C4673"/>
    <w:rsid w:val="004D164E"/>
    <w:rsid w:val="004E2F45"/>
    <w:rsid w:val="004E6817"/>
    <w:rsid w:val="004E6CB3"/>
    <w:rsid w:val="004E76D9"/>
    <w:rsid w:val="004F2F58"/>
    <w:rsid w:val="004F53F6"/>
    <w:rsid w:val="005040F6"/>
    <w:rsid w:val="00510AF5"/>
    <w:rsid w:val="00511817"/>
    <w:rsid w:val="00517749"/>
    <w:rsid w:val="005200AD"/>
    <w:rsid w:val="0052103B"/>
    <w:rsid w:val="00531220"/>
    <w:rsid w:val="00540293"/>
    <w:rsid w:val="005423F7"/>
    <w:rsid w:val="00545F16"/>
    <w:rsid w:val="00545F60"/>
    <w:rsid w:val="005470FA"/>
    <w:rsid w:val="0055291E"/>
    <w:rsid w:val="00554107"/>
    <w:rsid w:val="00563EB8"/>
    <w:rsid w:val="00576B8C"/>
    <w:rsid w:val="005814AB"/>
    <w:rsid w:val="00582D6F"/>
    <w:rsid w:val="00584113"/>
    <w:rsid w:val="00595AA6"/>
    <w:rsid w:val="00595E22"/>
    <w:rsid w:val="005A18B9"/>
    <w:rsid w:val="005A2762"/>
    <w:rsid w:val="005A45D6"/>
    <w:rsid w:val="005B11DF"/>
    <w:rsid w:val="005B29E3"/>
    <w:rsid w:val="005B51DC"/>
    <w:rsid w:val="005B71AE"/>
    <w:rsid w:val="005C54A2"/>
    <w:rsid w:val="005D4E0C"/>
    <w:rsid w:val="005F73F6"/>
    <w:rsid w:val="006014A3"/>
    <w:rsid w:val="00610B47"/>
    <w:rsid w:val="006631CD"/>
    <w:rsid w:val="00665175"/>
    <w:rsid w:val="00672530"/>
    <w:rsid w:val="00676A5E"/>
    <w:rsid w:val="00683419"/>
    <w:rsid w:val="00691469"/>
    <w:rsid w:val="00694E62"/>
    <w:rsid w:val="006957E4"/>
    <w:rsid w:val="006978D4"/>
    <w:rsid w:val="006A4549"/>
    <w:rsid w:val="006A5048"/>
    <w:rsid w:val="006B0121"/>
    <w:rsid w:val="006B7CD6"/>
    <w:rsid w:val="006C03AC"/>
    <w:rsid w:val="006C2A76"/>
    <w:rsid w:val="006C3E12"/>
    <w:rsid w:val="006C740D"/>
    <w:rsid w:val="006D191A"/>
    <w:rsid w:val="006D62DC"/>
    <w:rsid w:val="006D7D52"/>
    <w:rsid w:val="006E5094"/>
    <w:rsid w:val="006F0D3E"/>
    <w:rsid w:val="006F153C"/>
    <w:rsid w:val="006F37F7"/>
    <w:rsid w:val="006F6B60"/>
    <w:rsid w:val="006F6D5D"/>
    <w:rsid w:val="00710010"/>
    <w:rsid w:val="0072590F"/>
    <w:rsid w:val="00731111"/>
    <w:rsid w:val="00735C34"/>
    <w:rsid w:val="00740A8C"/>
    <w:rsid w:val="00744616"/>
    <w:rsid w:val="00753849"/>
    <w:rsid w:val="00770703"/>
    <w:rsid w:val="00770FCB"/>
    <w:rsid w:val="0077156F"/>
    <w:rsid w:val="00777EA4"/>
    <w:rsid w:val="00783FC2"/>
    <w:rsid w:val="00784B16"/>
    <w:rsid w:val="0078540C"/>
    <w:rsid w:val="0078545E"/>
    <w:rsid w:val="007858CB"/>
    <w:rsid w:val="0079568A"/>
    <w:rsid w:val="007A4EAB"/>
    <w:rsid w:val="007A79B0"/>
    <w:rsid w:val="007B2662"/>
    <w:rsid w:val="007C4AB2"/>
    <w:rsid w:val="007C55C4"/>
    <w:rsid w:val="007D1319"/>
    <w:rsid w:val="007D4016"/>
    <w:rsid w:val="007F0248"/>
    <w:rsid w:val="007F742A"/>
    <w:rsid w:val="007F79C4"/>
    <w:rsid w:val="008208BC"/>
    <w:rsid w:val="00820A03"/>
    <w:rsid w:val="008367DF"/>
    <w:rsid w:val="0084714A"/>
    <w:rsid w:val="00847272"/>
    <w:rsid w:val="008539A4"/>
    <w:rsid w:val="008603FD"/>
    <w:rsid w:val="00865217"/>
    <w:rsid w:val="0087025C"/>
    <w:rsid w:val="008764AC"/>
    <w:rsid w:val="00877185"/>
    <w:rsid w:val="008845D4"/>
    <w:rsid w:val="00886A65"/>
    <w:rsid w:val="00892EC2"/>
    <w:rsid w:val="00896111"/>
    <w:rsid w:val="008A1983"/>
    <w:rsid w:val="008B575C"/>
    <w:rsid w:val="008B6A5F"/>
    <w:rsid w:val="008B7B3B"/>
    <w:rsid w:val="008C22E6"/>
    <w:rsid w:val="008C5544"/>
    <w:rsid w:val="008C668A"/>
    <w:rsid w:val="008E2CDF"/>
    <w:rsid w:val="008E5285"/>
    <w:rsid w:val="008E76FD"/>
    <w:rsid w:val="008F0351"/>
    <w:rsid w:val="008F361B"/>
    <w:rsid w:val="008F4ABD"/>
    <w:rsid w:val="009004E7"/>
    <w:rsid w:val="00904C46"/>
    <w:rsid w:val="009104F1"/>
    <w:rsid w:val="00920E54"/>
    <w:rsid w:val="00921995"/>
    <w:rsid w:val="00922246"/>
    <w:rsid w:val="00923E90"/>
    <w:rsid w:val="0092585F"/>
    <w:rsid w:val="009304BF"/>
    <w:rsid w:val="009346D3"/>
    <w:rsid w:val="00934FC9"/>
    <w:rsid w:val="009376B7"/>
    <w:rsid w:val="009412EF"/>
    <w:rsid w:val="0094493E"/>
    <w:rsid w:val="00946F7D"/>
    <w:rsid w:val="00955446"/>
    <w:rsid w:val="0096794B"/>
    <w:rsid w:val="00971FF6"/>
    <w:rsid w:val="00972055"/>
    <w:rsid w:val="00974434"/>
    <w:rsid w:val="00974973"/>
    <w:rsid w:val="00974B1E"/>
    <w:rsid w:val="00976F7A"/>
    <w:rsid w:val="00980529"/>
    <w:rsid w:val="00991E2E"/>
    <w:rsid w:val="00993D16"/>
    <w:rsid w:val="00994953"/>
    <w:rsid w:val="009972DB"/>
    <w:rsid w:val="009A53FE"/>
    <w:rsid w:val="009A72F4"/>
    <w:rsid w:val="009C4209"/>
    <w:rsid w:val="009D44A3"/>
    <w:rsid w:val="009D6949"/>
    <w:rsid w:val="009D6DA4"/>
    <w:rsid w:val="00A009F3"/>
    <w:rsid w:val="00A015F8"/>
    <w:rsid w:val="00A07904"/>
    <w:rsid w:val="00A30812"/>
    <w:rsid w:val="00A320F6"/>
    <w:rsid w:val="00A36145"/>
    <w:rsid w:val="00A37019"/>
    <w:rsid w:val="00A44DD0"/>
    <w:rsid w:val="00A50115"/>
    <w:rsid w:val="00A578BD"/>
    <w:rsid w:val="00A71BFE"/>
    <w:rsid w:val="00A7708F"/>
    <w:rsid w:val="00A770BC"/>
    <w:rsid w:val="00A77EAF"/>
    <w:rsid w:val="00A8381C"/>
    <w:rsid w:val="00A8505E"/>
    <w:rsid w:val="00AB13E2"/>
    <w:rsid w:val="00AB16F9"/>
    <w:rsid w:val="00AD3875"/>
    <w:rsid w:val="00AE0C59"/>
    <w:rsid w:val="00AE57F4"/>
    <w:rsid w:val="00AF4A04"/>
    <w:rsid w:val="00B01A80"/>
    <w:rsid w:val="00B04251"/>
    <w:rsid w:val="00B10E99"/>
    <w:rsid w:val="00B21BA0"/>
    <w:rsid w:val="00B35488"/>
    <w:rsid w:val="00B359DB"/>
    <w:rsid w:val="00B473C1"/>
    <w:rsid w:val="00B5048C"/>
    <w:rsid w:val="00B512E5"/>
    <w:rsid w:val="00B52AF1"/>
    <w:rsid w:val="00B56A12"/>
    <w:rsid w:val="00B70564"/>
    <w:rsid w:val="00B735B1"/>
    <w:rsid w:val="00B74A19"/>
    <w:rsid w:val="00B87194"/>
    <w:rsid w:val="00B90042"/>
    <w:rsid w:val="00B920E7"/>
    <w:rsid w:val="00B920F8"/>
    <w:rsid w:val="00B9510E"/>
    <w:rsid w:val="00BA25B4"/>
    <w:rsid w:val="00BC622F"/>
    <w:rsid w:val="00BC6BF2"/>
    <w:rsid w:val="00BD716D"/>
    <w:rsid w:val="00BE273B"/>
    <w:rsid w:val="00BF79E1"/>
    <w:rsid w:val="00C01BF1"/>
    <w:rsid w:val="00C1207D"/>
    <w:rsid w:val="00C15B15"/>
    <w:rsid w:val="00C1629F"/>
    <w:rsid w:val="00C24886"/>
    <w:rsid w:val="00C24C35"/>
    <w:rsid w:val="00C27878"/>
    <w:rsid w:val="00C35603"/>
    <w:rsid w:val="00C40E44"/>
    <w:rsid w:val="00C470C6"/>
    <w:rsid w:val="00C50AD0"/>
    <w:rsid w:val="00C53214"/>
    <w:rsid w:val="00C5402B"/>
    <w:rsid w:val="00C63BBD"/>
    <w:rsid w:val="00C70D0F"/>
    <w:rsid w:val="00C72D36"/>
    <w:rsid w:val="00C7503D"/>
    <w:rsid w:val="00C8211C"/>
    <w:rsid w:val="00C85F37"/>
    <w:rsid w:val="00C86272"/>
    <w:rsid w:val="00C918E9"/>
    <w:rsid w:val="00C96861"/>
    <w:rsid w:val="00CA14A2"/>
    <w:rsid w:val="00CA1CF1"/>
    <w:rsid w:val="00CA493B"/>
    <w:rsid w:val="00CA5993"/>
    <w:rsid w:val="00CB3075"/>
    <w:rsid w:val="00CC13D4"/>
    <w:rsid w:val="00CC61BB"/>
    <w:rsid w:val="00CD5441"/>
    <w:rsid w:val="00CE3473"/>
    <w:rsid w:val="00CE4F1E"/>
    <w:rsid w:val="00CE6167"/>
    <w:rsid w:val="00CF1940"/>
    <w:rsid w:val="00D014CD"/>
    <w:rsid w:val="00D02005"/>
    <w:rsid w:val="00D02327"/>
    <w:rsid w:val="00D0301B"/>
    <w:rsid w:val="00D06EFA"/>
    <w:rsid w:val="00D07802"/>
    <w:rsid w:val="00D1006A"/>
    <w:rsid w:val="00D10F9A"/>
    <w:rsid w:val="00D11396"/>
    <w:rsid w:val="00D20BDA"/>
    <w:rsid w:val="00D21E53"/>
    <w:rsid w:val="00D27EEA"/>
    <w:rsid w:val="00D36192"/>
    <w:rsid w:val="00D560B9"/>
    <w:rsid w:val="00D56724"/>
    <w:rsid w:val="00D72028"/>
    <w:rsid w:val="00D74323"/>
    <w:rsid w:val="00D950AD"/>
    <w:rsid w:val="00DA641C"/>
    <w:rsid w:val="00DA795F"/>
    <w:rsid w:val="00DB002A"/>
    <w:rsid w:val="00DB22BD"/>
    <w:rsid w:val="00DB7B9F"/>
    <w:rsid w:val="00DC143B"/>
    <w:rsid w:val="00DD7A21"/>
    <w:rsid w:val="00DE4A48"/>
    <w:rsid w:val="00DE6433"/>
    <w:rsid w:val="00DF00D4"/>
    <w:rsid w:val="00DF1691"/>
    <w:rsid w:val="00DF1BE5"/>
    <w:rsid w:val="00DF3775"/>
    <w:rsid w:val="00DF4185"/>
    <w:rsid w:val="00DF4D30"/>
    <w:rsid w:val="00DF4DEA"/>
    <w:rsid w:val="00DF5370"/>
    <w:rsid w:val="00E21BFE"/>
    <w:rsid w:val="00E220EF"/>
    <w:rsid w:val="00E241CA"/>
    <w:rsid w:val="00E30DB1"/>
    <w:rsid w:val="00E31F41"/>
    <w:rsid w:val="00E42EF4"/>
    <w:rsid w:val="00E4583F"/>
    <w:rsid w:val="00E560C9"/>
    <w:rsid w:val="00E61863"/>
    <w:rsid w:val="00E62D42"/>
    <w:rsid w:val="00E71EDA"/>
    <w:rsid w:val="00E83F04"/>
    <w:rsid w:val="00E87E33"/>
    <w:rsid w:val="00E90983"/>
    <w:rsid w:val="00E938C4"/>
    <w:rsid w:val="00E94582"/>
    <w:rsid w:val="00EA1035"/>
    <w:rsid w:val="00EA6DA4"/>
    <w:rsid w:val="00EB6C13"/>
    <w:rsid w:val="00EC5181"/>
    <w:rsid w:val="00ED40D7"/>
    <w:rsid w:val="00ED7864"/>
    <w:rsid w:val="00EF1AE5"/>
    <w:rsid w:val="00F02B7B"/>
    <w:rsid w:val="00F05B91"/>
    <w:rsid w:val="00F067C6"/>
    <w:rsid w:val="00F10480"/>
    <w:rsid w:val="00F15F1E"/>
    <w:rsid w:val="00F16733"/>
    <w:rsid w:val="00F168ED"/>
    <w:rsid w:val="00F2589C"/>
    <w:rsid w:val="00F3014C"/>
    <w:rsid w:val="00F40491"/>
    <w:rsid w:val="00F459DA"/>
    <w:rsid w:val="00F461B2"/>
    <w:rsid w:val="00F501E3"/>
    <w:rsid w:val="00F53EDB"/>
    <w:rsid w:val="00F56FD6"/>
    <w:rsid w:val="00F60F75"/>
    <w:rsid w:val="00F61C91"/>
    <w:rsid w:val="00F61D50"/>
    <w:rsid w:val="00F62E7C"/>
    <w:rsid w:val="00F854EA"/>
    <w:rsid w:val="00F8571E"/>
    <w:rsid w:val="00F91469"/>
    <w:rsid w:val="00FA0FB3"/>
    <w:rsid w:val="00FA16D5"/>
    <w:rsid w:val="00FA4DA8"/>
    <w:rsid w:val="00FB172A"/>
    <w:rsid w:val="00FB3264"/>
    <w:rsid w:val="00FB62E1"/>
    <w:rsid w:val="00FC0EED"/>
    <w:rsid w:val="00FC3256"/>
    <w:rsid w:val="00FC775B"/>
    <w:rsid w:val="00FE1726"/>
    <w:rsid w:val="00FE652F"/>
    <w:rsid w:val="00FF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C79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16"/>
    <w:rPr>
      <w:rFonts w:ascii="Calibri" w:eastAsia="Calibri" w:hAnsi="Calibri" w:cs="Times New Roman"/>
    </w:rPr>
  </w:style>
  <w:style w:type="paragraph" w:styleId="Heading1">
    <w:name w:val="heading 1"/>
    <w:basedOn w:val="Normal"/>
    <w:next w:val="Normal"/>
    <w:link w:val="Heading1Char"/>
    <w:uiPriority w:val="99"/>
    <w:qFormat/>
    <w:rsid w:val="00993D1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E68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3D16"/>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rsid w:val="00993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D16"/>
    <w:rPr>
      <w:rFonts w:ascii="Calibri" w:eastAsia="Calibri" w:hAnsi="Calibri" w:cs="Times New Roman"/>
      <w:sz w:val="20"/>
      <w:szCs w:val="20"/>
    </w:rPr>
  </w:style>
  <w:style w:type="character" w:styleId="FootnoteReference">
    <w:name w:val="footnote reference"/>
    <w:uiPriority w:val="99"/>
    <w:semiHidden/>
    <w:rsid w:val="00993D16"/>
    <w:rPr>
      <w:rFonts w:cs="Times New Roman"/>
      <w:vertAlign w:val="superscript"/>
    </w:rPr>
  </w:style>
  <w:style w:type="character" w:styleId="Hyperlink">
    <w:name w:val="Hyperlink"/>
    <w:basedOn w:val="DefaultParagraphFont"/>
    <w:uiPriority w:val="99"/>
    <w:unhideWhenUsed/>
    <w:rsid w:val="00993D16"/>
    <w:rPr>
      <w:color w:val="0000FF"/>
      <w:u w:val="single"/>
    </w:rPr>
  </w:style>
  <w:style w:type="character" w:customStyle="1" w:styleId="hps">
    <w:name w:val="hps"/>
    <w:basedOn w:val="DefaultParagraphFont"/>
    <w:rsid w:val="00993D16"/>
  </w:style>
  <w:style w:type="character" w:styleId="Emphasis">
    <w:name w:val="Emphasis"/>
    <w:basedOn w:val="DefaultParagraphFont"/>
    <w:uiPriority w:val="20"/>
    <w:qFormat/>
    <w:rsid w:val="00993D16"/>
    <w:rPr>
      <w:i/>
      <w:iCs/>
    </w:rPr>
  </w:style>
  <w:style w:type="character" w:customStyle="1" w:styleId="apple-converted-space">
    <w:name w:val="apple-converted-space"/>
    <w:basedOn w:val="DefaultParagraphFont"/>
    <w:rsid w:val="00993D16"/>
  </w:style>
  <w:style w:type="paragraph" w:styleId="Footer">
    <w:name w:val="footer"/>
    <w:basedOn w:val="Normal"/>
    <w:link w:val="FooterChar"/>
    <w:uiPriority w:val="99"/>
    <w:unhideWhenUsed/>
    <w:rsid w:val="00993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D16"/>
    <w:rPr>
      <w:rFonts w:ascii="Calibri" w:eastAsia="Calibri" w:hAnsi="Calibri" w:cs="Times New Roman"/>
    </w:rPr>
  </w:style>
  <w:style w:type="paragraph" w:styleId="Subtitle">
    <w:name w:val="Subtitle"/>
    <w:basedOn w:val="Normal"/>
    <w:next w:val="Normal"/>
    <w:link w:val="SubtitleChar"/>
    <w:uiPriority w:val="11"/>
    <w:qFormat/>
    <w:rsid w:val="004E6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817"/>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4E681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73BA7"/>
    <w:rPr>
      <w:sz w:val="16"/>
      <w:szCs w:val="16"/>
    </w:rPr>
  </w:style>
  <w:style w:type="paragraph" w:styleId="CommentText">
    <w:name w:val="annotation text"/>
    <w:basedOn w:val="Normal"/>
    <w:link w:val="CommentTextChar"/>
    <w:uiPriority w:val="99"/>
    <w:semiHidden/>
    <w:unhideWhenUsed/>
    <w:rsid w:val="00073BA7"/>
    <w:pPr>
      <w:spacing w:line="240" w:lineRule="auto"/>
    </w:pPr>
    <w:rPr>
      <w:sz w:val="20"/>
      <w:szCs w:val="20"/>
    </w:rPr>
  </w:style>
  <w:style w:type="character" w:customStyle="1" w:styleId="CommentTextChar">
    <w:name w:val="Comment Text Char"/>
    <w:basedOn w:val="DefaultParagraphFont"/>
    <w:link w:val="CommentText"/>
    <w:uiPriority w:val="99"/>
    <w:semiHidden/>
    <w:rsid w:val="00073B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3BA7"/>
    <w:rPr>
      <w:b/>
      <w:bCs/>
    </w:rPr>
  </w:style>
  <w:style w:type="character" w:customStyle="1" w:styleId="CommentSubjectChar">
    <w:name w:val="Comment Subject Char"/>
    <w:basedOn w:val="CommentTextChar"/>
    <w:link w:val="CommentSubject"/>
    <w:uiPriority w:val="99"/>
    <w:semiHidden/>
    <w:rsid w:val="00073BA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3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BA7"/>
    <w:rPr>
      <w:rFonts w:ascii="Tahoma" w:eastAsia="Calibri" w:hAnsi="Tahoma" w:cs="Tahoma"/>
      <w:sz w:val="16"/>
      <w:szCs w:val="16"/>
    </w:rPr>
  </w:style>
  <w:style w:type="character" w:customStyle="1" w:styleId="shorttext">
    <w:name w:val="short_text"/>
    <w:basedOn w:val="DefaultParagraphFont"/>
    <w:rsid w:val="00352058"/>
  </w:style>
  <w:style w:type="character" w:styleId="FollowedHyperlink">
    <w:name w:val="FollowedHyperlink"/>
    <w:basedOn w:val="DefaultParagraphFont"/>
    <w:uiPriority w:val="99"/>
    <w:semiHidden/>
    <w:unhideWhenUsed/>
    <w:rsid w:val="00B512E5"/>
    <w:rPr>
      <w:color w:val="800080" w:themeColor="followedHyperlink"/>
      <w:u w:val="single"/>
    </w:rPr>
  </w:style>
  <w:style w:type="paragraph" w:customStyle="1" w:styleId="Default">
    <w:name w:val="Default"/>
    <w:rsid w:val="003F32C6"/>
    <w:pPr>
      <w:autoSpaceDE w:val="0"/>
      <w:autoSpaceDN w:val="0"/>
      <w:adjustRightInd w:val="0"/>
      <w:spacing w:after="0" w:line="240" w:lineRule="auto"/>
    </w:pPr>
    <w:rPr>
      <w:rFonts w:ascii="Open Sans" w:hAnsi="Open Sans" w:cs="Open Sans"/>
      <w:color w:val="000000"/>
      <w:sz w:val="24"/>
      <w:szCs w:val="24"/>
    </w:rPr>
  </w:style>
  <w:style w:type="paragraph" w:customStyle="1" w:styleId="Pa3">
    <w:name w:val="Pa3"/>
    <w:basedOn w:val="Default"/>
    <w:next w:val="Default"/>
    <w:uiPriority w:val="99"/>
    <w:rsid w:val="003F32C6"/>
    <w:pPr>
      <w:spacing w:line="241" w:lineRule="atLeast"/>
    </w:pPr>
    <w:rPr>
      <w:rFonts w:cstheme="minorBidi"/>
      <w:color w:val="auto"/>
    </w:rPr>
  </w:style>
  <w:style w:type="character" w:customStyle="1" w:styleId="A6">
    <w:name w:val="A6"/>
    <w:uiPriority w:val="99"/>
    <w:rsid w:val="003F32C6"/>
    <w:rPr>
      <w:rFonts w:cs="Open Sans"/>
      <w:color w:val="000000"/>
      <w:sz w:val="20"/>
      <w:szCs w:val="20"/>
    </w:rPr>
  </w:style>
  <w:style w:type="paragraph" w:styleId="Header">
    <w:name w:val="header"/>
    <w:basedOn w:val="Normal"/>
    <w:link w:val="HeaderChar"/>
    <w:uiPriority w:val="99"/>
    <w:unhideWhenUsed/>
    <w:rsid w:val="00B95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10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16"/>
    <w:rPr>
      <w:rFonts w:ascii="Calibri" w:eastAsia="Calibri" w:hAnsi="Calibri" w:cs="Times New Roman"/>
    </w:rPr>
  </w:style>
  <w:style w:type="paragraph" w:styleId="Heading1">
    <w:name w:val="heading 1"/>
    <w:basedOn w:val="Normal"/>
    <w:next w:val="Normal"/>
    <w:link w:val="Heading1Char"/>
    <w:uiPriority w:val="99"/>
    <w:qFormat/>
    <w:rsid w:val="00993D1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4E681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93D16"/>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rsid w:val="00993D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D16"/>
    <w:rPr>
      <w:rFonts w:ascii="Calibri" w:eastAsia="Calibri" w:hAnsi="Calibri" w:cs="Times New Roman"/>
      <w:sz w:val="20"/>
      <w:szCs w:val="20"/>
    </w:rPr>
  </w:style>
  <w:style w:type="character" w:styleId="FootnoteReference">
    <w:name w:val="footnote reference"/>
    <w:uiPriority w:val="99"/>
    <w:semiHidden/>
    <w:rsid w:val="00993D16"/>
    <w:rPr>
      <w:rFonts w:cs="Times New Roman"/>
      <w:vertAlign w:val="superscript"/>
    </w:rPr>
  </w:style>
  <w:style w:type="character" w:styleId="Hyperlink">
    <w:name w:val="Hyperlink"/>
    <w:basedOn w:val="DefaultParagraphFont"/>
    <w:uiPriority w:val="99"/>
    <w:unhideWhenUsed/>
    <w:rsid w:val="00993D16"/>
    <w:rPr>
      <w:color w:val="0000FF"/>
      <w:u w:val="single"/>
    </w:rPr>
  </w:style>
  <w:style w:type="character" w:customStyle="1" w:styleId="hps">
    <w:name w:val="hps"/>
    <w:basedOn w:val="DefaultParagraphFont"/>
    <w:rsid w:val="00993D16"/>
  </w:style>
  <w:style w:type="character" w:styleId="Emphasis">
    <w:name w:val="Emphasis"/>
    <w:basedOn w:val="DefaultParagraphFont"/>
    <w:uiPriority w:val="20"/>
    <w:qFormat/>
    <w:rsid w:val="00993D16"/>
    <w:rPr>
      <w:i/>
      <w:iCs/>
    </w:rPr>
  </w:style>
  <w:style w:type="character" w:customStyle="1" w:styleId="apple-converted-space">
    <w:name w:val="apple-converted-space"/>
    <w:basedOn w:val="DefaultParagraphFont"/>
    <w:rsid w:val="00993D16"/>
  </w:style>
  <w:style w:type="paragraph" w:styleId="Footer">
    <w:name w:val="footer"/>
    <w:basedOn w:val="Normal"/>
    <w:link w:val="FooterChar"/>
    <w:uiPriority w:val="99"/>
    <w:unhideWhenUsed/>
    <w:rsid w:val="00993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D16"/>
    <w:rPr>
      <w:rFonts w:ascii="Calibri" w:eastAsia="Calibri" w:hAnsi="Calibri" w:cs="Times New Roman"/>
    </w:rPr>
  </w:style>
  <w:style w:type="paragraph" w:styleId="Subtitle">
    <w:name w:val="Subtitle"/>
    <w:basedOn w:val="Normal"/>
    <w:next w:val="Normal"/>
    <w:link w:val="SubtitleChar"/>
    <w:uiPriority w:val="11"/>
    <w:qFormat/>
    <w:rsid w:val="004E681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6817"/>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4E6817"/>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073BA7"/>
    <w:rPr>
      <w:sz w:val="16"/>
      <w:szCs w:val="16"/>
    </w:rPr>
  </w:style>
  <w:style w:type="paragraph" w:styleId="CommentText">
    <w:name w:val="annotation text"/>
    <w:basedOn w:val="Normal"/>
    <w:link w:val="CommentTextChar"/>
    <w:uiPriority w:val="99"/>
    <w:semiHidden/>
    <w:unhideWhenUsed/>
    <w:rsid w:val="00073BA7"/>
    <w:pPr>
      <w:spacing w:line="240" w:lineRule="auto"/>
    </w:pPr>
    <w:rPr>
      <w:sz w:val="20"/>
      <w:szCs w:val="20"/>
    </w:rPr>
  </w:style>
  <w:style w:type="character" w:customStyle="1" w:styleId="CommentTextChar">
    <w:name w:val="Comment Text Char"/>
    <w:basedOn w:val="DefaultParagraphFont"/>
    <w:link w:val="CommentText"/>
    <w:uiPriority w:val="99"/>
    <w:semiHidden/>
    <w:rsid w:val="00073B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73BA7"/>
    <w:rPr>
      <w:b/>
      <w:bCs/>
    </w:rPr>
  </w:style>
  <w:style w:type="character" w:customStyle="1" w:styleId="CommentSubjectChar">
    <w:name w:val="Comment Subject Char"/>
    <w:basedOn w:val="CommentTextChar"/>
    <w:link w:val="CommentSubject"/>
    <w:uiPriority w:val="99"/>
    <w:semiHidden/>
    <w:rsid w:val="00073BA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73B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BA7"/>
    <w:rPr>
      <w:rFonts w:ascii="Tahoma" w:eastAsia="Calibri" w:hAnsi="Tahoma" w:cs="Tahoma"/>
      <w:sz w:val="16"/>
      <w:szCs w:val="16"/>
    </w:rPr>
  </w:style>
  <w:style w:type="character" w:customStyle="1" w:styleId="shorttext">
    <w:name w:val="short_text"/>
    <w:basedOn w:val="DefaultParagraphFont"/>
    <w:rsid w:val="00352058"/>
  </w:style>
  <w:style w:type="character" w:styleId="FollowedHyperlink">
    <w:name w:val="FollowedHyperlink"/>
    <w:basedOn w:val="DefaultParagraphFont"/>
    <w:uiPriority w:val="99"/>
    <w:semiHidden/>
    <w:unhideWhenUsed/>
    <w:rsid w:val="00B512E5"/>
    <w:rPr>
      <w:color w:val="800080" w:themeColor="followedHyperlink"/>
      <w:u w:val="single"/>
    </w:rPr>
  </w:style>
  <w:style w:type="paragraph" w:customStyle="1" w:styleId="Default">
    <w:name w:val="Default"/>
    <w:rsid w:val="003F32C6"/>
    <w:pPr>
      <w:autoSpaceDE w:val="0"/>
      <w:autoSpaceDN w:val="0"/>
      <w:adjustRightInd w:val="0"/>
      <w:spacing w:after="0" w:line="240" w:lineRule="auto"/>
    </w:pPr>
    <w:rPr>
      <w:rFonts w:ascii="Open Sans" w:hAnsi="Open Sans" w:cs="Open Sans"/>
      <w:color w:val="000000"/>
      <w:sz w:val="24"/>
      <w:szCs w:val="24"/>
    </w:rPr>
  </w:style>
  <w:style w:type="paragraph" w:customStyle="1" w:styleId="Pa3">
    <w:name w:val="Pa3"/>
    <w:basedOn w:val="Default"/>
    <w:next w:val="Default"/>
    <w:uiPriority w:val="99"/>
    <w:rsid w:val="003F32C6"/>
    <w:pPr>
      <w:spacing w:line="241" w:lineRule="atLeast"/>
    </w:pPr>
    <w:rPr>
      <w:rFonts w:cstheme="minorBidi"/>
      <w:color w:val="auto"/>
    </w:rPr>
  </w:style>
  <w:style w:type="character" w:customStyle="1" w:styleId="A6">
    <w:name w:val="A6"/>
    <w:uiPriority w:val="99"/>
    <w:rsid w:val="003F32C6"/>
    <w:rPr>
      <w:rFonts w:cs="Open Sans"/>
      <w:color w:val="000000"/>
      <w:sz w:val="20"/>
      <w:szCs w:val="20"/>
    </w:rPr>
  </w:style>
  <w:style w:type="paragraph" w:styleId="Header">
    <w:name w:val="header"/>
    <w:basedOn w:val="Normal"/>
    <w:link w:val="HeaderChar"/>
    <w:uiPriority w:val="99"/>
    <w:unhideWhenUsed/>
    <w:rsid w:val="00B95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10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80187">
      <w:bodyDiv w:val="1"/>
      <w:marLeft w:val="0"/>
      <w:marRight w:val="0"/>
      <w:marTop w:val="0"/>
      <w:marBottom w:val="0"/>
      <w:divBdr>
        <w:top w:val="none" w:sz="0" w:space="0" w:color="auto"/>
        <w:left w:val="none" w:sz="0" w:space="0" w:color="auto"/>
        <w:bottom w:val="none" w:sz="0" w:space="0" w:color="auto"/>
        <w:right w:val="none" w:sz="0" w:space="0" w:color="auto"/>
      </w:divBdr>
    </w:div>
    <w:div w:id="350641528">
      <w:bodyDiv w:val="1"/>
      <w:marLeft w:val="0"/>
      <w:marRight w:val="0"/>
      <w:marTop w:val="0"/>
      <w:marBottom w:val="0"/>
      <w:divBdr>
        <w:top w:val="none" w:sz="0" w:space="0" w:color="auto"/>
        <w:left w:val="none" w:sz="0" w:space="0" w:color="auto"/>
        <w:bottom w:val="none" w:sz="0" w:space="0" w:color="auto"/>
        <w:right w:val="none" w:sz="0" w:space="0" w:color="auto"/>
      </w:divBdr>
      <w:divsChild>
        <w:div w:id="1967274127">
          <w:marLeft w:val="0"/>
          <w:marRight w:val="0"/>
          <w:marTop w:val="0"/>
          <w:marBottom w:val="0"/>
          <w:divBdr>
            <w:top w:val="none" w:sz="0" w:space="0" w:color="auto"/>
            <w:left w:val="none" w:sz="0" w:space="0" w:color="auto"/>
            <w:bottom w:val="none" w:sz="0" w:space="0" w:color="auto"/>
            <w:right w:val="none" w:sz="0" w:space="0" w:color="auto"/>
          </w:divBdr>
        </w:div>
        <w:div w:id="1647709708">
          <w:marLeft w:val="0"/>
          <w:marRight w:val="75"/>
          <w:marTop w:val="0"/>
          <w:marBottom w:val="0"/>
          <w:divBdr>
            <w:top w:val="none" w:sz="0" w:space="0" w:color="auto"/>
            <w:left w:val="none" w:sz="0" w:space="0" w:color="auto"/>
            <w:bottom w:val="none" w:sz="0" w:space="0" w:color="auto"/>
            <w:right w:val="none" w:sz="0" w:space="0" w:color="auto"/>
          </w:divBdr>
        </w:div>
        <w:div w:id="2015691080">
          <w:marLeft w:val="0"/>
          <w:marRight w:val="0"/>
          <w:marTop w:val="0"/>
          <w:marBottom w:val="75"/>
          <w:divBdr>
            <w:top w:val="none" w:sz="0" w:space="0" w:color="auto"/>
            <w:left w:val="single" w:sz="6" w:space="6" w:color="999999"/>
            <w:bottom w:val="none" w:sz="0" w:space="0" w:color="auto"/>
            <w:right w:val="none" w:sz="0" w:space="0" w:color="auto"/>
          </w:divBdr>
        </w:div>
        <w:div w:id="1157577496">
          <w:marLeft w:val="0"/>
          <w:marRight w:val="0"/>
          <w:marTop w:val="75"/>
          <w:marBottom w:val="300"/>
          <w:divBdr>
            <w:top w:val="single" w:sz="6" w:space="4" w:color="CCCCCC"/>
            <w:left w:val="none" w:sz="0" w:space="0" w:color="auto"/>
            <w:bottom w:val="none" w:sz="0" w:space="0" w:color="auto"/>
            <w:right w:val="none" w:sz="0" w:space="0" w:color="auto"/>
          </w:divBdr>
        </w:div>
      </w:divsChild>
    </w:div>
    <w:div w:id="403647728">
      <w:bodyDiv w:val="1"/>
      <w:marLeft w:val="0"/>
      <w:marRight w:val="0"/>
      <w:marTop w:val="0"/>
      <w:marBottom w:val="0"/>
      <w:divBdr>
        <w:top w:val="none" w:sz="0" w:space="0" w:color="auto"/>
        <w:left w:val="none" w:sz="0" w:space="0" w:color="auto"/>
        <w:bottom w:val="none" w:sz="0" w:space="0" w:color="auto"/>
        <w:right w:val="none" w:sz="0" w:space="0" w:color="auto"/>
      </w:divBdr>
    </w:div>
    <w:div w:id="926306668">
      <w:bodyDiv w:val="1"/>
      <w:marLeft w:val="0"/>
      <w:marRight w:val="0"/>
      <w:marTop w:val="0"/>
      <w:marBottom w:val="0"/>
      <w:divBdr>
        <w:top w:val="none" w:sz="0" w:space="0" w:color="auto"/>
        <w:left w:val="none" w:sz="0" w:space="0" w:color="auto"/>
        <w:bottom w:val="none" w:sz="0" w:space="0" w:color="auto"/>
        <w:right w:val="none" w:sz="0" w:space="0" w:color="auto"/>
      </w:divBdr>
    </w:div>
    <w:div w:id="1686831797">
      <w:bodyDiv w:val="1"/>
      <w:marLeft w:val="0"/>
      <w:marRight w:val="0"/>
      <w:marTop w:val="0"/>
      <w:marBottom w:val="0"/>
      <w:divBdr>
        <w:top w:val="none" w:sz="0" w:space="0" w:color="auto"/>
        <w:left w:val="none" w:sz="0" w:space="0" w:color="auto"/>
        <w:bottom w:val="none" w:sz="0" w:space="0" w:color="auto"/>
        <w:right w:val="none" w:sz="0" w:space="0" w:color="auto"/>
      </w:divBdr>
    </w:div>
    <w:div w:id="1752462928">
      <w:bodyDiv w:val="1"/>
      <w:marLeft w:val="0"/>
      <w:marRight w:val="0"/>
      <w:marTop w:val="0"/>
      <w:marBottom w:val="0"/>
      <w:divBdr>
        <w:top w:val="none" w:sz="0" w:space="0" w:color="auto"/>
        <w:left w:val="none" w:sz="0" w:space="0" w:color="auto"/>
        <w:bottom w:val="none" w:sz="0" w:space="0" w:color="auto"/>
        <w:right w:val="none" w:sz="0" w:space="0" w:color="auto"/>
      </w:divBdr>
      <w:divsChild>
        <w:div w:id="1519661196">
          <w:marLeft w:val="0"/>
          <w:marRight w:val="0"/>
          <w:marTop w:val="0"/>
          <w:marBottom w:val="120"/>
          <w:divBdr>
            <w:top w:val="none" w:sz="0" w:space="0" w:color="auto"/>
            <w:left w:val="none" w:sz="0" w:space="0" w:color="auto"/>
            <w:bottom w:val="none" w:sz="0" w:space="0" w:color="auto"/>
            <w:right w:val="none" w:sz="0" w:space="0" w:color="auto"/>
          </w:divBdr>
        </w:div>
        <w:div w:id="720323964">
          <w:marLeft w:val="0"/>
          <w:marRight w:val="0"/>
          <w:marTop w:val="0"/>
          <w:marBottom w:val="120"/>
          <w:divBdr>
            <w:top w:val="none" w:sz="0" w:space="0" w:color="auto"/>
            <w:left w:val="none" w:sz="0" w:space="0" w:color="auto"/>
            <w:bottom w:val="none" w:sz="0" w:space="0" w:color="auto"/>
            <w:right w:val="none" w:sz="0" w:space="0" w:color="auto"/>
          </w:divBdr>
          <w:divsChild>
            <w:div w:id="96485959">
              <w:marLeft w:val="0"/>
              <w:marRight w:val="0"/>
              <w:marTop w:val="0"/>
              <w:marBottom w:val="105"/>
              <w:divBdr>
                <w:top w:val="none" w:sz="0" w:space="0" w:color="auto"/>
                <w:left w:val="none" w:sz="0" w:space="0" w:color="auto"/>
                <w:bottom w:val="none" w:sz="0" w:space="0" w:color="auto"/>
                <w:right w:val="none" w:sz="0" w:space="0" w:color="auto"/>
              </w:divBdr>
            </w:div>
          </w:divsChild>
        </w:div>
        <w:div w:id="250895189">
          <w:marLeft w:val="0"/>
          <w:marRight w:val="0"/>
          <w:marTop w:val="0"/>
          <w:marBottom w:val="120"/>
          <w:divBdr>
            <w:top w:val="none" w:sz="0" w:space="0" w:color="auto"/>
            <w:left w:val="none" w:sz="0" w:space="0" w:color="auto"/>
            <w:bottom w:val="none" w:sz="0" w:space="0" w:color="auto"/>
            <w:right w:val="none" w:sz="0" w:space="0" w:color="auto"/>
          </w:divBdr>
          <w:divsChild>
            <w:div w:id="815414844">
              <w:marLeft w:val="0"/>
              <w:marRight w:val="0"/>
              <w:marTop w:val="0"/>
              <w:marBottom w:val="105"/>
              <w:divBdr>
                <w:top w:val="none" w:sz="0" w:space="0" w:color="auto"/>
                <w:left w:val="none" w:sz="0" w:space="0" w:color="auto"/>
                <w:bottom w:val="none" w:sz="0" w:space="0" w:color="auto"/>
                <w:right w:val="none" w:sz="0" w:space="0" w:color="auto"/>
              </w:divBdr>
            </w:div>
          </w:divsChild>
        </w:div>
        <w:div w:id="1545219420">
          <w:marLeft w:val="0"/>
          <w:marRight w:val="0"/>
          <w:marTop w:val="0"/>
          <w:marBottom w:val="120"/>
          <w:divBdr>
            <w:top w:val="none" w:sz="0" w:space="0" w:color="auto"/>
            <w:left w:val="none" w:sz="0" w:space="0" w:color="auto"/>
            <w:bottom w:val="none" w:sz="0" w:space="0" w:color="auto"/>
            <w:right w:val="none" w:sz="0" w:space="0" w:color="auto"/>
          </w:divBdr>
          <w:divsChild>
            <w:div w:id="1587959833">
              <w:marLeft w:val="0"/>
              <w:marRight w:val="0"/>
              <w:marTop w:val="0"/>
              <w:marBottom w:val="105"/>
              <w:divBdr>
                <w:top w:val="none" w:sz="0" w:space="0" w:color="auto"/>
                <w:left w:val="none" w:sz="0" w:space="0" w:color="auto"/>
                <w:bottom w:val="none" w:sz="0" w:space="0" w:color="auto"/>
                <w:right w:val="none" w:sz="0" w:space="0" w:color="auto"/>
              </w:divBdr>
            </w:div>
          </w:divsChild>
        </w:div>
        <w:div w:id="929777715">
          <w:marLeft w:val="0"/>
          <w:marRight w:val="0"/>
          <w:marTop w:val="0"/>
          <w:marBottom w:val="120"/>
          <w:divBdr>
            <w:top w:val="none" w:sz="0" w:space="0" w:color="auto"/>
            <w:left w:val="none" w:sz="0" w:space="0" w:color="auto"/>
            <w:bottom w:val="none" w:sz="0" w:space="0" w:color="auto"/>
            <w:right w:val="none" w:sz="0" w:space="0" w:color="auto"/>
          </w:divBdr>
          <w:divsChild>
            <w:div w:id="841168738">
              <w:marLeft w:val="0"/>
              <w:marRight w:val="0"/>
              <w:marTop w:val="0"/>
              <w:marBottom w:val="105"/>
              <w:divBdr>
                <w:top w:val="none" w:sz="0" w:space="0" w:color="auto"/>
                <w:left w:val="none" w:sz="0" w:space="0" w:color="auto"/>
                <w:bottom w:val="none" w:sz="0" w:space="0" w:color="auto"/>
                <w:right w:val="none" w:sz="0" w:space="0" w:color="auto"/>
              </w:divBdr>
            </w:div>
          </w:divsChild>
        </w:div>
        <w:div w:id="968167961">
          <w:marLeft w:val="0"/>
          <w:marRight w:val="0"/>
          <w:marTop w:val="0"/>
          <w:marBottom w:val="0"/>
          <w:divBdr>
            <w:top w:val="none" w:sz="0" w:space="0" w:color="auto"/>
            <w:left w:val="none" w:sz="0" w:space="0" w:color="auto"/>
            <w:bottom w:val="none" w:sz="0" w:space="0" w:color="auto"/>
            <w:right w:val="none" w:sz="0" w:space="0" w:color="auto"/>
          </w:divBdr>
          <w:divsChild>
            <w:div w:id="208051231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883204805">
      <w:bodyDiv w:val="1"/>
      <w:marLeft w:val="0"/>
      <w:marRight w:val="0"/>
      <w:marTop w:val="0"/>
      <w:marBottom w:val="0"/>
      <w:divBdr>
        <w:top w:val="none" w:sz="0" w:space="0" w:color="auto"/>
        <w:left w:val="none" w:sz="0" w:space="0" w:color="auto"/>
        <w:bottom w:val="none" w:sz="0" w:space="0" w:color="auto"/>
        <w:right w:val="none" w:sz="0" w:space="0" w:color="auto"/>
      </w:divBdr>
    </w:div>
    <w:div w:id="2011828845">
      <w:bodyDiv w:val="1"/>
      <w:marLeft w:val="0"/>
      <w:marRight w:val="0"/>
      <w:marTop w:val="0"/>
      <w:marBottom w:val="0"/>
      <w:divBdr>
        <w:top w:val="none" w:sz="0" w:space="0" w:color="auto"/>
        <w:left w:val="none" w:sz="0" w:space="0" w:color="auto"/>
        <w:bottom w:val="none" w:sz="0" w:space="0" w:color="auto"/>
        <w:right w:val="none" w:sz="0" w:space="0" w:color="auto"/>
      </w:divBdr>
      <w:divsChild>
        <w:div w:id="183398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balkaninsight.com/en/article/albania-students-rally-against-university-reform" TargetMode="External"/><Relationship Id="rId18" Type="http://schemas.openxmlformats.org/officeDocument/2006/relationships/hyperlink" Target="http://www.herdata.org/documents" TargetMode="External"/><Relationship Id="rId26" Type="http://schemas.openxmlformats.org/officeDocument/2006/relationships/hyperlink" Target="http://www.herdata.org/documents" TargetMode="External"/><Relationship Id="rId39" Type="http://schemas.openxmlformats.org/officeDocument/2006/relationships/hyperlink" Target="http://documents.worldbank.org/curated/en/2014/01/18750428/montenegro-higher-education-research-innovation-competitiveness-project-p122785-implementation-status-results-report-sequence-04" TargetMode="External"/><Relationship Id="rId3" Type="http://schemas.openxmlformats.org/officeDocument/2006/relationships/settings" Target="settings.xml"/><Relationship Id="rId21" Type="http://schemas.openxmlformats.org/officeDocument/2006/relationships/hyperlink" Target="http://www.knowledge-transfer-study.eu/home/" TargetMode="External"/><Relationship Id="rId34" Type="http://schemas.openxmlformats.org/officeDocument/2006/relationships/hyperlink" Target="http://www.arhiv.mvzt.gov.si/fileadmin/mvzt.gov.si/pageuploads/doc/dokumenti_visokosolstvo/statistika_visokosolstvo/analiza-dodiplomski-vpis_10_11.doc"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mladina.si/113163/studenti-po-tekocem-traku/" TargetMode="External"/><Relationship Id="rId17" Type="http://schemas.openxmlformats.org/officeDocument/2006/relationships/hyperlink" Target="http://www.herdata.org/documents" TargetMode="External"/><Relationship Id="rId25" Type="http://schemas.openxmlformats.org/officeDocument/2006/relationships/hyperlink" Target="http://www.herdata.org/documents" TargetMode="External"/><Relationship Id="rId33" Type="http://schemas.openxmlformats.org/officeDocument/2006/relationships/hyperlink" Target="http://www.pisrs.si/Pis.web/pregledPredpisa?id=ZAKO172" TargetMode="External"/><Relationship Id="rId38" Type="http://schemas.openxmlformats.org/officeDocument/2006/relationships/hyperlink" Target="http://www.worldbank.org/en/events/2013/10/24/balkans-innovation-event" TargetMode="External"/><Relationship Id="rId2" Type="http://schemas.microsoft.com/office/2007/relationships/stylesWithEffects" Target="stylesWithEffects.xml"/><Relationship Id="rId16" Type="http://schemas.openxmlformats.org/officeDocument/2006/relationships/hyperlink" Target="http://www.herdata.org/documents" TargetMode="External"/><Relationship Id="rId20" Type="http://schemas.openxmlformats.org/officeDocument/2006/relationships/hyperlink" Target="http://www.herdata.org/documents" TargetMode="External"/><Relationship Id="rId29" Type="http://schemas.openxmlformats.org/officeDocument/2006/relationships/hyperlink" Target="http://www.rcc.int/pubs/20/south-east-europe-2020-strategy"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erdata.org/" TargetMode="External"/><Relationship Id="rId24" Type="http://schemas.openxmlformats.org/officeDocument/2006/relationships/hyperlink" Target="http://eacea.ec.europa.eu/education/eurydice/documents/facts_and_figures/fees_support.pdf" TargetMode="External"/><Relationship Id="rId32" Type="http://schemas.openxmlformats.org/officeDocument/2006/relationships/hyperlink" Target="http://www.ehea.info/Uploads/National%20reports/Serbia.pdf" TargetMode="External"/><Relationship Id="rId37" Type="http://schemas.openxmlformats.org/officeDocument/2006/relationships/hyperlink" Target="http://www.enqa.eu/index.php/home/esg/" TargetMode="External"/><Relationship Id="rId40" Type="http://schemas.openxmlformats.org/officeDocument/2006/relationships/hyperlink" Target="http://www.balkaninsight.com/en/article/school-for-scandal-corruption-downgrades-balkan-education" TargetMode="External"/><Relationship Id="rId5" Type="http://schemas.openxmlformats.org/officeDocument/2006/relationships/footnotes" Target="footnotes.xml"/><Relationship Id="rId15" Type="http://schemas.openxmlformats.org/officeDocument/2006/relationships/hyperlink" Target="http://www.kalksh.org/raporte-te-kerkimeve/" TargetMode="External"/><Relationship Id="rId23" Type="http://schemas.openxmlformats.org/officeDocument/2006/relationships/hyperlink" Target="http://www.consilium.europa.eu/ueDocs/newsWord/en/intm/97237.doc" TargetMode="External"/><Relationship Id="rId28" Type="http://schemas.openxmlformats.org/officeDocument/2006/relationships/hyperlink" Target="http://www.herdata.org/documents" TargetMode="External"/><Relationship Id="rId36" Type="http://schemas.openxmlformats.org/officeDocument/2006/relationships/hyperlink" Target="http://www.uradni-list.si/1/content?id=103975" TargetMode="External"/><Relationship Id="rId10" Type="http://schemas.openxmlformats.org/officeDocument/2006/relationships/chart" Target="charts/chart3.xml"/><Relationship Id="rId19" Type="http://schemas.openxmlformats.org/officeDocument/2006/relationships/hyperlink" Target="http://www.herdata.org/documents" TargetMode="External"/><Relationship Id="rId31" Type="http://schemas.openxmlformats.org/officeDocument/2006/relationships/hyperlink" Target="http://www.herdata.org/documents"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www.balkaninsight.com/en/article/albania-private-universities-eye-public-moneyNEWS%2009%20JUL%2014" TargetMode="External"/><Relationship Id="rId22" Type="http://schemas.openxmlformats.org/officeDocument/2006/relationships/hyperlink" Target="http://ec.europa.eu/research/era/docs/en/knowledge-sharing-european-commission-1329-2008-en-pub.pdf" TargetMode="External"/><Relationship Id="rId27" Type="http://schemas.openxmlformats.org/officeDocument/2006/relationships/hyperlink" Target="http://www.herdata.org/documents" TargetMode="External"/><Relationship Id="rId30" Type="http://schemas.openxmlformats.org/officeDocument/2006/relationships/hyperlink" Target="http://www.herdata.org/documents" TargetMode="External"/><Relationship Id="rId35" Type="http://schemas.openxmlformats.org/officeDocument/2006/relationships/hyperlink" Target="http://www.uradni-list.si/1/content?id=103885"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Manja%20Klemencic\Documents\3C_Projects\2012%20EUROHESC\04%20Zaklju&#269;na%20publikacija\MAPA%20v%20katero%20nalo&#382;imo%20tabele%20in%20slike\Stare%20verzije%20slik\06%202012%20DEP%20Student%20enrollments%20in%20public%20and%20private%20final.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2" Type="http://schemas.openxmlformats.org/officeDocument/2006/relationships/oleObject" Target="file:///C:\Users\Manja%20Klemencic\Desktop\2012%20EUROHESC\04%20Zaklju&#269;na%20publikacija\MAPA%20v%20katero%20nalo&#382;imo%20tabele%20in%20slike\Stare%20verzije%20slik\innovation%20and%20industry..shoudl%20does.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17"/>
    </mc:Choice>
    <mc:Fallback>
      <c:style val="17"/>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invertIfNegative val="0"/>
          <c:cat>
            <c:strRef>
              <c:f>List1!$G$17:$G$24</c:f>
              <c:strCache>
                <c:ptCount val="8"/>
                <c:pt idx="0">
                  <c:v>AL, 2009/10</c:v>
                </c:pt>
                <c:pt idx="1">
                  <c:v>BA, 2010/11*</c:v>
                </c:pt>
                <c:pt idx="2">
                  <c:v>HR, 2009/10</c:v>
                </c:pt>
                <c:pt idx="3">
                  <c:v>KV, 2012/13</c:v>
                </c:pt>
                <c:pt idx="4">
                  <c:v>MK, 2010/11</c:v>
                </c:pt>
                <c:pt idx="5">
                  <c:v>ME, 2010/11</c:v>
                </c:pt>
                <c:pt idx="6">
                  <c:v>SR, 2010/11</c:v>
                </c:pt>
                <c:pt idx="7">
                  <c:v>SI, 2010/11</c:v>
                </c:pt>
              </c:strCache>
            </c:strRef>
          </c:cat>
          <c:val>
            <c:numRef>
              <c:f>List1!$H$17:$H$24</c:f>
              <c:numCache>
                <c:formatCode>0%</c:formatCode>
                <c:ptCount val="8"/>
                <c:pt idx="0">
                  <c:v>0.82</c:v>
                </c:pt>
                <c:pt idx="1">
                  <c:v>0.81</c:v>
                </c:pt>
                <c:pt idx="2">
                  <c:v>0.93</c:v>
                </c:pt>
                <c:pt idx="3">
                  <c:v>0.63</c:v>
                </c:pt>
                <c:pt idx="4">
                  <c:v>0.83</c:v>
                </c:pt>
                <c:pt idx="5">
                  <c:v>0.8</c:v>
                </c:pt>
                <c:pt idx="6">
                  <c:v>0.83</c:v>
                </c:pt>
                <c:pt idx="7">
                  <c:v>0.86</c:v>
                </c:pt>
              </c:numCache>
            </c:numRef>
          </c:val>
        </c:ser>
        <c:dLbls>
          <c:showLegendKey val="0"/>
          <c:showVal val="1"/>
          <c:showCatName val="0"/>
          <c:showSerName val="0"/>
          <c:showPercent val="0"/>
          <c:showBubbleSize val="0"/>
        </c:dLbls>
        <c:gapWidth val="75"/>
        <c:axId val="126860288"/>
        <c:axId val="35509376"/>
      </c:barChart>
      <c:catAx>
        <c:axId val="126860288"/>
        <c:scaling>
          <c:orientation val="maxMin"/>
        </c:scaling>
        <c:delete val="0"/>
        <c:axPos val="l"/>
        <c:majorTickMark val="none"/>
        <c:minorTickMark val="none"/>
        <c:tickLblPos val="nextTo"/>
        <c:crossAx val="35509376"/>
        <c:crosses val="autoZero"/>
        <c:auto val="1"/>
        <c:lblAlgn val="ctr"/>
        <c:lblOffset val="100"/>
        <c:noMultiLvlLbl val="0"/>
      </c:catAx>
      <c:valAx>
        <c:axId val="35509376"/>
        <c:scaling>
          <c:orientation val="minMax"/>
        </c:scaling>
        <c:delete val="0"/>
        <c:axPos val="t"/>
        <c:numFmt formatCode="0%" sourceLinked="1"/>
        <c:majorTickMark val="none"/>
        <c:minorTickMark val="none"/>
        <c:tickLblPos val="nextTo"/>
        <c:crossAx val="126860288"/>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percentStacked"/>
        <c:varyColors val="0"/>
        <c:ser>
          <c:idx val="0"/>
          <c:order val="0"/>
          <c:tx>
            <c:strRef>
              <c:f>Sheet1!$B$23</c:f>
              <c:strCache>
                <c:ptCount val="1"/>
                <c:pt idx="0">
                  <c:v>Agree</c:v>
                </c:pt>
              </c:strCache>
            </c:strRef>
          </c:tx>
          <c:invertIfNegative val="0"/>
          <c:cat>
            <c:strRef>
              <c:f>Sheet1!$C$22:$J$22</c:f>
              <c:strCache>
                <c:ptCount val="8"/>
                <c:pt idx="0">
                  <c:v>Albania</c:v>
                </c:pt>
                <c:pt idx="1">
                  <c:v>BIH</c:v>
                </c:pt>
                <c:pt idx="2">
                  <c:v>Croatia</c:v>
                </c:pt>
                <c:pt idx="3">
                  <c:v>Kosovo</c:v>
                </c:pt>
                <c:pt idx="4">
                  <c:v>FYR Macedonia</c:v>
                </c:pt>
                <c:pt idx="5">
                  <c:v>Montenegro</c:v>
                </c:pt>
                <c:pt idx="6">
                  <c:v>Serbia</c:v>
                </c:pt>
                <c:pt idx="7">
                  <c:v>Slovenia</c:v>
                </c:pt>
              </c:strCache>
            </c:strRef>
          </c:cat>
          <c:val>
            <c:numRef>
              <c:f>Sheet1!$C$23:$J$23</c:f>
              <c:numCache>
                <c:formatCode>0%</c:formatCode>
                <c:ptCount val="8"/>
                <c:pt idx="0">
                  <c:v>0.51479289940828399</c:v>
                </c:pt>
                <c:pt idx="1">
                  <c:v>0.55200000000000005</c:v>
                </c:pt>
                <c:pt idx="2">
                  <c:v>0.28074866310160401</c:v>
                </c:pt>
                <c:pt idx="3">
                  <c:v>0.83050847457627097</c:v>
                </c:pt>
                <c:pt idx="4">
                  <c:v>0.65384615384615397</c:v>
                </c:pt>
                <c:pt idx="5">
                  <c:v>0.38571428571428601</c:v>
                </c:pt>
                <c:pt idx="6">
                  <c:v>0.26984126984126999</c:v>
                </c:pt>
                <c:pt idx="7">
                  <c:v>0.48661800486618001</c:v>
                </c:pt>
              </c:numCache>
            </c:numRef>
          </c:val>
        </c:ser>
        <c:ser>
          <c:idx val="1"/>
          <c:order val="1"/>
          <c:tx>
            <c:strRef>
              <c:f>Sheet1!$B$24</c:f>
              <c:strCache>
                <c:ptCount val="1"/>
                <c:pt idx="0">
                  <c:v>Neither agree nor disagree</c:v>
                </c:pt>
              </c:strCache>
            </c:strRef>
          </c:tx>
          <c:invertIfNegative val="0"/>
          <c:cat>
            <c:strRef>
              <c:f>Sheet1!$C$22:$J$22</c:f>
              <c:strCache>
                <c:ptCount val="8"/>
                <c:pt idx="0">
                  <c:v>Albania</c:v>
                </c:pt>
                <c:pt idx="1">
                  <c:v>BIH</c:v>
                </c:pt>
                <c:pt idx="2">
                  <c:v>Croatia</c:v>
                </c:pt>
                <c:pt idx="3">
                  <c:v>Kosovo</c:v>
                </c:pt>
                <c:pt idx="4">
                  <c:v>FYR Macedonia</c:v>
                </c:pt>
                <c:pt idx="5">
                  <c:v>Montenegro</c:v>
                </c:pt>
                <c:pt idx="6">
                  <c:v>Serbia</c:v>
                </c:pt>
                <c:pt idx="7">
                  <c:v>Slovenia</c:v>
                </c:pt>
              </c:strCache>
            </c:strRef>
          </c:cat>
          <c:val>
            <c:numRef>
              <c:f>Sheet1!$C$24:$J$24</c:f>
              <c:numCache>
                <c:formatCode>0%</c:formatCode>
                <c:ptCount val="8"/>
                <c:pt idx="0">
                  <c:v>7.1005917159763302E-2</c:v>
                </c:pt>
                <c:pt idx="1">
                  <c:v>0.152</c:v>
                </c:pt>
                <c:pt idx="2">
                  <c:v>0.23529411764705899</c:v>
                </c:pt>
                <c:pt idx="3">
                  <c:v>6.7796610169491497E-2</c:v>
                </c:pt>
                <c:pt idx="4">
                  <c:v>0.141025641025641</c:v>
                </c:pt>
                <c:pt idx="5">
                  <c:v>0.114285714285714</c:v>
                </c:pt>
                <c:pt idx="6">
                  <c:v>0.16402116402116401</c:v>
                </c:pt>
                <c:pt idx="7">
                  <c:v>0.19708029197080301</c:v>
                </c:pt>
              </c:numCache>
            </c:numRef>
          </c:val>
        </c:ser>
        <c:ser>
          <c:idx val="2"/>
          <c:order val="2"/>
          <c:tx>
            <c:strRef>
              <c:f>Sheet1!$B$25</c:f>
              <c:strCache>
                <c:ptCount val="1"/>
                <c:pt idx="0">
                  <c:v>Disagree</c:v>
                </c:pt>
              </c:strCache>
            </c:strRef>
          </c:tx>
          <c:invertIfNegative val="0"/>
          <c:cat>
            <c:strRef>
              <c:f>Sheet1!$C$22:$J$22</c:f>
              <c:strCache>
                <c:ptCount val="8"/>
                <c:pt idx="0">
                  <c:v>Albania</c:v>
                </c:pt>
                <c:pt idx="1">
                  <c:v>BIH</c:v>
                </c:pt>
                <c:pt idx="2">
                  <c:v>Croatia</c:v>
                </c:pt>
                <c:pt idx="3">
                  <c:v>Kosovo</c:v>
                </c:pt>
                <c:pt idx="4">
                  <c:v>FYR Macedonia</c:v>
                </c:pt>
                <c:pt idx="5">
                  <c:v>Montenegro</c:v>
                </c:pt>
                <c:pt idx="6">
                  <c:v>Serbia</c:v>
                </c:pt>
                <c:pt idx="7">
                  <c:v>Slovenia</c:v>
                </c:pt>
              </c:strCache>
            </c:strRef>
          </c:cat>
          <c:val>
            <c:numRef>
              <c:f>Sheet1!$C$25:$J$25</c:f>
              <c:numCache>
                <c:formatCode>0%</c:formatCode>
                <c:ptCount val="8"/>
                <c:pt idx="0">
                  <c:v>0.195266272189349</c:v>
                </c:pt>
                <c:pt idx="1">
                  <c:v>0.36</c:v>
                </c:pt>
                <c:pt idx="2">
                  <c:v>0.53743315508021305</c:v>
                </c:pt>
                <c:pt idx="3">
                  <c:v>8.47457627118645E-2</c:v>
                </c:pt>
                <c:pt idx="4">
                  <c:v>0.243589743589744</c:v>
                </c:pt>
                <c:pt idx="5">
                  <c:v>0.42857142857142899</c:v>
                </c:pt>
                <c:pt idx="6">
                  <c:v>0.56613756613756605</c:v>
                </c:pt>
                <c:pt idx="7">
                  <c:v>0.40632603406326001</c:v>
                </c:pt>
              </c:numCache>
            </c:numRef>
          </c:val>
        </c:ser>
        <c:ser>
          <c:idx val="3"/>
          <c:order val="3"/>
          <c:tx>
            <c:strRef>
              <c:f>Sheet1!$B$26</c:f>
              <c:strCache>
                <c:ptCount val="1"/>
                <c:pt idx="0">
                  <c:v>No opinion</c:v>
                </c:pt>
              </c:strCache>
            </c:strRef>
          </c:tx>
          <c:invertIfNegative val="0"/>
          <c:cat>
            <c:strRef>
              <c:f>Sheet1!$C$22:$J$22</c:f>
              <c:strCache>
                <c:ptCount val="8"/>
                <c:pt idx="0">
                  <c:v>Albania</c:v>
                </c:pt>
                <c:pt idx="1">
                  <c:v>BIH</c:v>
                </c:pt>
                <c:pt idx="2">
                  <c:v>Croatia</c:v>
                </c:pt>
                <c:pt idx="3">
                  <c:v>Kosovo</c:v>
                </c:pt>
                <c:pt idx="4">
                  <c:v>FYR Macedonia</c:v>
                </c:pt>
                <c:pt idx="5">
                  <c:v>Montenegro</c:v>
                </c:pt>
                <c:pt idx="6">
                  <c:v>Serbia</c:v>
                </c:pt>
                <c:pt idx="7">
                  <c:v>Slovenia</c:v>
                </c:pt>
              </c:strCache>
            </c:strRef>
          </c:cat>
          <c:val>
            <c:numRef>
              <c:f>Sheet1!$C$26:$J$26</c:f>
              <c:numCache>
                <c:formatCode>0%</c:formatCode>
                <c:ptCount val="8"/>
                <c:pt idx="0">
                  <c:v>1.7751479289940801E-2</c:v>
                </c:pt>
                <c:pt idx="1">
                  <c:v>0</c:v>
                </c:pt>
                <c:pt idx="2">
                  <c:v>2.1390374331550801E-2</c:v>
                </c:pt>
                <c:pt idx="3">
                  <c:v>5.0847457627118703E-2</c:v>
                </c:pt>
                <c:pt idx="4">
                  <c:v>2.5641025641025599E-2</c:v>
                </c:pt>
                <c:pt idx="5">
                  <c:v>4.2857142857142899E-2</c:v>
                </c:pt>
                <c:pt idx="6">
                  <c:v>1.85185185185185E-2</c:v>
                </c:pt>
                <c:pt idx="7">
                  <c:v>1.4598540145985399E-2</c:v>
                </c:pt>
              </c:numCache>
            </c:numRef>
          </c:val>
        </c:ser>
        <c:dLbls>
          <c:showLegendKey val="0"/>
          <c:showVal val="1"/>
          <c:showCatName val="0"/>
          <c:showSerName val="0"/>
          <c:showPercent val="0"/>
          <c:showBubbleSize val="0"/>
        </c:dLbls>
        <c:gapWidth val="95"/>
        <c:overlap val="100"/>
        <c:axId val="131449984"/>
        <c:axId val="131451520"/>
      </c:barChart>
      <c:catAx>
        <c:axId val="131449984"/>
        <c:scaling>
          <c:orientation val="maxMin"/>
        </c:scaling>
        <c:delete val="0"/>
        <c:axPos val="l"/>
        <c:majorTickMark val="none"/>
        <c:minorTickMark val="none"/>
        <c:tickLblPos val="nextTo"/>
        <c:crossAx val="131451520"/>
        <c:crosses val="autoZero"/>
        <c:auto val="1"/>
        <c:lblAlgn val="ctr"/>
        <c:lblOffset val="100"/>
        <c:noMultiLvlLbl val="0"/>
      </c:catAx>
      <c:valAx>
        <c:axId val="131451520"/>
        <c:scaling>
          <c:orientation val="minMax"/>
        </c:scaling>
        <c:delete val="1"/>
        <c:axPos val="t"/>
        <c:numFmt formatCode="0%" sourceLinked="1"/>
        <c:majorTickMark val="none"/>
        <c:minorTickMark val="none"/>
        <c:tickLblPos val="none"/>
        <c:crossAx val="131449984"/>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'[innovation and industry..shoudl does.xlsx]Sheet1'!$A$4</c:f>
              <c:strCache>
                <c:ptCount val="1"/>
                <c:pt idx="0">
                  <c:v>currently - Innovation and cooperation with industry</c:v>
                </c:pt>
              </c:strCache>
            </c:strRef>
          </c:tx>
          <c:invertIfNegative val="0"/>
          <c:cat>
            <c:strRef>
              <c:f>'[innovation and industry..shoudl does.xlsx]Sheet1'!$B$3:$I$3</c:f>
              <c:strCache>
                <c:ptCount val="8"/>
                <c:pt idx="0">
                  <c:v>Albania</c:v>
                </c:pt>
                <c:pt idx="1">
                  <c:v>BIH</c:v>
                </c:pt>
                <c:pt idx="2">
                  <c:v>Croatia</c:v>
                </c:pt>
                <c:pt idx="3">
                  <c:v>Kosovo</c:v>
                </c:pt>
                <c:pt idx="4">
                  <c:v>Macedonia</c:v>
                </c:pt>
                <c:pt idx="5">
                  <c:v>Montenegro</c:v>
                </c:pt>
                <c:pt idx="6">
                  <c:v>Serbia</c:v>
                </c:pt>
                <c:pt idx="7">
                  <c:v>Slovenia</c:v>
                </c:pt>
              </c:strCache>
            </c:strRef>
          </c:cat>
          <c:val>
            <c:numRef>
              <c:f>'[innovation and industry..shoudl does.xlsx]Sheet1'!$B$4:$I$4</c:f>
              <c:numCache>
                <c:formatCode>###0.00</c:formatCode>
                <c:ptCount val="8"/>
                <c:pt idx="0">
                  <c:v>3.3515151515151511</c:v>
                </c:pt>
                <c:pt idx="1">
                  <c:v>2.783333333333335</c:v>
                </c:pt>
                <c:pt idx="2">
                  <c:v>2.9063360881542701</c:v>
                </c:pt>
                <c:pt idx="3">
                  <c:v>3.2962962962962972</c:v>
                </c:pt>
                <c:pt idx="4">
                  <c:v>3.0993377483443778</c:v>
                </c:pt>
                <c:pt idx="5">
                  <c:v>3</c:v>
                </c:pt>
                <c:pt idx="6">
                  <c:v>2.9186991869918661</c:v>
                </c:pt>
                <c:pt idx="7">
                  <c:v>3.1683673469387781</c:v>
                </c:pt>
              </c:numCache>
            </c:numRef>
          </c:val>
        </c:ser>
        <c:ser>
          <c:idx val="1"/>
          <c:order val="1"/>
          <c:tx>
            <c:strRef>
              <c:f>'[innovation and industry..shoudl does.xlsx]Sheet1'!$A$5</c:f>
              <c:strCache>
                <c:ptCount val="1"/>
                <c:pt idx="0">
                  <c:v>should - Innovation and cooperation with industry</c:v>
                </c:pt>
              </c:strCache>
            </c:strRef>
          </c:tx>
          <c:invertIfNegative val="0"/>
          <c:cat>
            <c:strRef>
              <c:f>'[innovation and industry..shoudl does.xlsx]Sheet1'!$B$3:$I$3</c:f>
              <c:strCache>
                <c:ptCount val="8"/>
                <c:pt idx="0">
                  <c:v>Albania</c:v>
                </c:pt>
                <c:pt idx="1">
                  <c:v>BIH</c:v>
                </c:pt>
                <c:pt idx="2">
                  <c:v>Croatia</c:v>
                </c:pt>
                <c:pt idx="3">
                  <c:v>Kosovo</c:v>
                </c:pt>
                <c:pt idx="4">
                  <c:v>Macedonia</c:v>
                </c:pt>
                <c:pt idx="5">
                  <c:v>Montenegro</c:v>
                </c:pt>
                <c:pt idx="6">
                  <c:v>Serbia</c:v>
                </c:pt>
                <c:pt idx="7">
                  <c:v>Slovenia</c:v>
                </c:pt>
              </c:strCache>
            </c:strRef>
          </c:cat>
          <c:val>
            <c:numRef>
              <c:f>'[innovation and industry..shoudl does.xlsx]Sheet1'!$B$5:$I$5</c:f>
              <c:numCache>
                <c:formatCode>###0.00</c:formatCode>
                <c:ptCount val="8"/>
                <c:pt idx="0">
                  <c:v>4.5575757575757443</c:v>
                </c:pt>
                <c:pt idx="1">
                  <c:v>4.6166666666666663</c:v>
                </c:pt>
                <c:pt idx="2">
                  <c:v>4.3581267217630852</c:v>
                </c:pt>
                <c:pt idx="3">
                  <c:v>4.8333333333333357</c:v>
                </c:pt>
                <c:pt idx="4">
                  <c:v>4.5827814569536427</c:v>
                </c:pt>
                <c:pt idx="5">
                  <c:v>4.390625</c:v>
                </c:pt>
                <c:pt idx="6">
                  <c:v>4.2872628726287276</c:v>
                </c:pt>
                <c:pt idx="7">
                  <c:v>4.4030612244897984</c:v>
                </c:pt>
              </c:numCache>
            </c:numRef>
          </c:val>
        </c:ser>
        <c:dLbls>
          <c:showLegendKey val="0"/>
          <c:showVal val="1"/>
          <c:showCatName val="0"/>
          <c:showSerName val="0"/>
          <c:showPercent val="0"/>
          <c:showBubbleSize val="0"/>
        </c:dLbls>
        <c:gapWidth val="150"/>
        <c:overlap val="-25"/>
        <c:axId val="131458176"/>
        <c:axId val="84164992"/>
      </c:barChart>
      <c:catAx>
        <c:axId val="131458176"/>
        <c:scaling>
          <c:orientation val="maxMin"/>
        </c:scaling>
        <c:delete val="0"/>
        <c:axPos val="l"/>
        <c:majorTickMark val="none"/>
        <c:minorTickMark val="none"/>
        <c:tickLblPos val="nextTo"/>
        <c:crossAx val="84164992"/>
        <c:crosses val="autoZero"/>
        <c:auto val="1"/>
        <c:lblAlgn val="ctr"/>
        <c:lblOffset val="100"/>
        <c:noMultiLvlLbl val="0"/>
      </c:catAx>
      <c:valAx>
        <c:axId val="84164992"/>
        <c:scaling>
          <c:orientation val="minMax"/>
          <c:max val="5"/>
          <c:min val="1"/>
        </c:scaling>
        <c:delete val="1"/>
        <c:axPos val="t"/>
        <c:numFmt formatCode="###0.00" sourceLinked="1"/>
        <c:majorTickMark val="none"/>
        <c:minorTickMark val="none"/>
        <c:tickLblPos val="none"/>
        <c:crossAx val="131458176"/>
        <c:crosses val="autoZero"/>
        <c:crossBetween val="between"/>
      </c:valAx>
    </c:plotArea>
    <c:legend>
      <c:legendPos val="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TotalTime>
  <Pages>22</Pages>
  <Words>9661</Words>
  <Characters>55068</Characters>
  <Application>Microsoft Office Word</Application>
  <DocSecurity>0</DocSecurity>
  <Lines>458</Lines>
  <Paragraphs>129</Paragraphs>
  <ScaleCrop>false</ScaleCrop>
  <HeadingPairs>
    <vt:vector size="6" baseType="variant">
      <vt:variant>
        <vt:lpstr>Title</vt:lpstr>
      </vt:variant>
      <vt:variant>
        <vt:i4>1</vt:i4>
      </vt:variant>
      <vt:variant>
        <vt:lpstr>Headings</vt:lpstr>
      </vt:variant>
      <vt:variant>
        <vt:i4>17</vt:i4>
      </vt:variant>
      <vt:variant>
        <vt:lpstr>Naslov</vt:lpstr>
      </vt:variant>
      <vt:variant>
        <vt:i4>1</vt:i4>
      </vt:variant>
    </vt:vector>
  </HeadingPairs>
  <TitlesOfParts>
    <vt:vector size="19" baseType="lpstr">
      <vt:lpstr/>
      <vt:lpstr>Public-private dynamics in higher education in the Western Balkans: are governme</vt:lpstr>
      <vt:lpstr/>
      <vt:lpstr>Abstract</vt:lpstr>
      <vt:lpstr>Introduction</vt:lpstr>
      <vt:lpstr>Basic theoretical concepts </vt:lpstr>
      <vt:lpstr>    Research methods</vt:lpstr>
      <vt:lpstr>Emergence of private higher education and access of private institutions to publ</vt:lpstr>
      <vt:lpstr>    Private institutions’ access to public resources</vt:lpstr>
      <vt:lpstr>Strengthening the ‘private’ in public higher education </vt:lpstr>
      <vt:lpstr>    Tuition fee policies</vt:lpstr>
      <vt:lpstr>    Revenues from strengthening cooperation with industry</vt:lpstr>
      <vt:lpstr>Conclusion</vt:lpstr>
      <vt:lpstr>Notes</vt:lpstr>
      <vt:lpstr>3 Available at: http://www.herdata.org/ . All links were last accessed 20 July 2</vt:lpstr>
      <vt:lpstr>References</vt:lpstr>
      <vt:lpstr>    Primary sources</vt:lpstr>
      <vt:lpstr>    Secondary sources</vt:lpstr>
      <vt:lpstr/>
    </vt:vector>
  </TitlesOfParts>
  <Company/>
  <LinksUpToDate>false</LinksUpToDate>
  <CharactersWithSpaces>64600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Manja Klemencic</dc:creator>
  <cp:lastModifiedBy>Manja Klemencic</cp:lastModifiedBy>
  <cp:revision>4</cp:revision>
  <cp:lastPrinted>2014-07-20T17:04:00Z</cp:lastPrinted>
  <dcterms:created xsi:type="dcterms:W3CDTF">2014-09-30T12:56:00Z</dcterms:created>
  <dcterms:modified xsi:type="dcterms:W3CDTF">2014-09-30T13:59:00Z</dcterms:modified>
</cp:coreProperties>
</file>