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787B2" w14:textId="77777777" w:rsidR="005E64C6" w:rsidRPr="00907794" w:rsidRDefault="00065BF7" w:rsidP="00E91BF4">
      <w:pPr>
        <w:spacing w:after="0" w:line="240" w:lineRule="auto"/>
        <w:jc w:val="center"/>
        <w:rPr>
          <w:b/>
          <w:bCs/>
          <w:smallCaps/>
          <w:color w:val="000000"/>
          <w:sz w:val="32"/>
          <w:lang w:val="en-US"/>
        </w:rPr>
      </w:pPr>
      <w:bookmarkStart w:id="0" w:name="_GoBack"/>
      <w:bookmarkEnd w:id="0"/>
      <w:r w:rsidRPr="00907794">
        <w:rPr>
          <w:b/>
          <w:bCs/>
          <w:smallCaps/>
          <w:color w:val="000000"/>
          <w:sz w:val="32"/>
          <w:lang w:val="en-US"/>
        </w:rPr>
        <w:t xml:space="preserve">Future Of Higher Education - </w:t>
      </w:r>
      <w:r w:rsidR="005E64C6" w:rsidRPr="00907794">
        <w:rPr>
          <w:b/>
          <w:bCs/>
          <w:smallCaps/>
          <w:color w:val="000000"/>
          <w:sz w:val="32"/>
          <w:lang w:val="en-US"/>
        </w:rPr>
        <w:t>Bologna Process Researchers’ Conference (</w:t>
      </w:r>
      <w:r w:rsidRPr="00907794">
        <w:rPr>
          <w:b/>
          <w:bCs/>
          <w:smallCaps/>
          <w:color w:val="000000"/>
          <w:sz w:val="32"/>
          <w:lang w:val="en-US"/>
        </w:rPr>
        <w:t>FOHE-</w:t>
      </w:r>
      <w:r w:rsidR="005E64C6" w:rsidRPr="00907794">
        <w:rPr>
          <w:b/>
          <w:bCs/>
          <w:smallCaps/>
          <w:color w:val="000000"/>
          <w:sz w:val="32"/>
          <w:lang w:val="en-US"/>
        </w:rPr>
        <w:t xml:space="preserve">BPRC) </w:t>
      </w:r>
    </w:p>
    <w:p w14:paraId="21ED6F0A" w14:textId="77777777" w:rsidR="00E91BF4" w:rsidRPr="00907794" w:rsidRDefault="00BB4394" w:rsidP="00E91BF4">
      <w:pPr>
        <w:spacing w:after="0" w:line="240" w:lineRule="auto"/>
        <w:jc w:val="center"/>
        <w:rPr>
          <w:b/>
          <w:bCs/>
          <w:smallCaps/>
          <w:color w:val="000000"/>
          <w:sz w:val="28"/>
          <w:lang w:val="en-US"/>
        </w:rPr>
      </w:pPr>
      <w:r w:rsidRPr="00907794">
        <w:rPr>
          <w:b/>
          <w:bCs/>
          <w:smallCaps/>
          <w:color w:val="000000"/>
          <w:sz w:val="28"/>
          <w:lang w:val="en-US"/>
        </w:rPr>
        <w:t>THIRD</w:t>
      </w:r>
      <w:r w:rsidR="00E91BF4" w:rsidRPr="00907794">
        <w:rPr>
          <w:b/>
          <w:bCs/>
          <w:smallCaps/>
          <w:color w:val="000000"/>
          <w:sz w:val="28"/>
          <w:lang w:val="en-US"/>
        </w:rPr>
        <w:t xml:space="preserve"> EDITION</w:t>
      </w:r>
    </w:p>
    <w:p w14:paraId="2CC98F07" w14:textId="62888E27" w:rsidR="005E64C6" w:rsidRPr="00907794" w:rsidRDefault="008640B9" w:rsidP="00E91BF4">
      <w:pPr>
        <w:spacing w:after="0" w:line="240" w:lineRule="auto"/>
        <w:jc w:val="center"/>
        <w:rPr>
          <w:b/>
          <w:bCs/>
          <w:color w:val="000000"/>
          <w:sz w:val="28"/>
          <w:lang w:val="en-US"/>
        </w:rPr>
      </w:pPr>
      <w:r w:rsidRPr="00907794">
        <w:rPr>
          <w:b/>
          <w:bCs/>
          <w:color w:val="000000"/>
          <w:sz w:val="28"/>
          <w:lang w:val="en-US"/>
        </w:rPr>
        <w:t>2</w:t>
      </w:r>
      <w:r w:rsidR="00BB4394" w:rsidRPr="00907794">
        <w:rPr>
          <w:b/>
          <w:bCs/>
          <w:color w:val="000000"/>
          <w:sz w:val="28"/>
          <w:lang w:val="en-US"/>
        </w:rPr>
        <w:t>7</w:t>
      </w:r>
      <w:r w:rsidRPr="00907794">
        <w:rPr>
          <w:b/>
          <w:bCs/>
          <w:color w:val="000000"/>
          <w:sz w:val="28"/>
          <w:lang w:val="en-US"/>
        </w:rPr>
        <w:t xml:space="preserve"> – 2</w:t>
      </w:r>
      <w:r w:rsidR="00BB4394" w:rsidRPr="00907794">
        <w:rPr>
          <w:b/>
          <w:bCs/>
          <w:color w:val="000000"/>
          <w:sz w:val="28"/>
          <w:lang w:val="en-US"/>
        </w:rPr>
        <w:t>9</w:t>
      </w:r>
      <w:r w:rsidRPr="00907794">
        <w:rPr>
          <w:b/>
          <w:bCs/>
          <w:color w:val="000000"/>
          <w:sz w:val="28"/>
          <w:lang w:val="en-US"/>
        </w:rPr>
        <w:t xml:space="preserve"> November 201</w:t>
      </w:r>
      <w:r w:rsidR="00BB4394" w:rsidRPr="00907794">
        <w:rPr>
          <w:b/>
          <w:bCs/>
          <w:color w:val="000000"/>
          <w:sz w:val="28"/>
          <w:lang w:val="en-US"/>
        </w:rPr>
        <w:t>7</w:t>
      </w:r>
      <w:r w:rsidR="00BD72ED" w:rsidRPr="00907794">
        <w:rPr>
          <w:b/>
          <w:bCs/>
          <w:color w:val="000000"/>
          <w:sz w:val="28"/>
          <w:lang w:val="en-US"/>
        </w:rPr>
        <w:t xml:space="preserve">, </w:t>
      </w:r>
      <w:r w:rsidR="005E64C6" w:rsidRPr="00907794">
        <w:rPr>
          <w:b/>
          <w:bCs/>
          <w:color w:val="000000"/>
          <w:sz w:val="28"/>
          <w:lang w:val="en-US"/>
        </w:rPr>
        <w:t>Bucharest, Romania</w:t>
      </w:r>
    </w:p>
    <w:p w14:paraId="4B80C274" w14:textId="77777777" w:rsidR="00E91BF4" w:rsidRPr="00907794" w:rsidRDefault="00E91BF4" w:rsidP="00E91BF4">
      <w:pPr>
        <w:spacing w:after="0" w:line="240" w:lineRule="auto"/>
        <w:rPr>
          <w:b/>
          <w:bCs/>
          <w:lang w:val="en-US"/>
        </w:rPr>
      </w:pPr>
    </w:p>
    <w:p w14:paraId="25B0BDD9" w14:textId="77777777" w:rsidR="00E91BF4" w:rsidRPr="00907794" w:rsidRDefault="00E91BF4" w:rsidP="00E91BF4">
      <w:pPr>
        <w:spacing w:after="0" w:line="240" w:lineRule="auto"/>
        <w:rPr>
          <w:b/>
          <w:bCs/>
          <w:sz w:val="28"/>
          <w:lang w:val="en-US"/>
        </w:rPr>
      </w:pPr>
    </w:p>
    <w:p w14:paraId="6DA5F1B0" w14:textId="77777777" w:rsidR="008E2788" w:rsidRPr="00907794" w:rsidRDefault="008E2788" w:rsidP="00E91BF4">
      <w:pPr>
        <w:spacing w:after="0" w:line="240" w:lineRule="auto"/>
        <w:rPr>
          <w:b/>
          <w:bCs/>
          <w:sz w:val="28"/>
          <w:lang w:val="en-US"/>
        </w:rPr>
      </w:pPr>
    </w:p>
    <w:p w14:paraId="08700248" w14:textId="77777777" w:rsidR="005E64C6" w:rsidRPr="00907794" w:rsidRDefault="0074620F" w:rsidP="00FC6820">
      <w:pPr>
        <w:pStyle w:val="Heading1"/>
        <w:rPr>
          <w:b w:val="0"/>
          <w:bCs w:val="0"/>
          <w:sz w:val="26"/>
        </w:rPr>
      </w:pPr>
      <w:r w:rsidRPr="00907794">
        <w:rPr>
          <w:sz w:val="26"/>
        </w:rPr>
        <w:t>Background</w:t>
      </w:r>
    </w:p>
    <w:p w14:paraId="4DA36139" w14:textId="77777777" w:rsidR="00781885" w:rsidRPr="00907794" w:rsidRDefault="00781885" w:rsidP="00E91BF4">
      <w:pPr>
        <w:spacing w:after="0" w:line="240" w:lineRule="auto"/>
        <w:jc w:val="both"/>
        <w:rPr>
          <w:bCs/>
          <w:color w:val="000000"/>
          <w:lang w:val="en-US"/>
        </w:rPr>
      </w:pPr>
    </w:p>
    <w:p w14:paraId="18BED853" w14:textId="2752B5EE" w:rsidR="006A00CF" w:rsidRPr="00907794" w:rsidRDefault="00D55400" w:rsidP="00E91BF4">
      <w:pPr>
        <w:spacing w:after="0" w:line="240" w:lineRule="auto"/>
        <w:jc w:val="both"/>
        <w:rPr>
          <w:bCs/>
          <w:color w:val="000000"/>
          <w:lang w:val="en-US"/>
        </w:rPr>
      </w:pPr>
      <w:r w:rsidRPr="00D55400">
        <w:rPr>
          <w:bCs/>
          <w:color w:val="000000"/>
          <w:lang w:val="en-US"/>
        </w:rPr>
        <w:t>The Bologna Process, launched with the Bologna Declaration, of 1999, is one of the main voluntary processes at European level, as it is nowadays implemented in 48 states, which define the European Higher Education Area (EHEA).</w:t>
      </w:r>
      <w:r>
        <w:rPr>
          <w:bCs/>
          <w:color w:val="000000"/>
          <w:lang w:val="en-US"/>
        </w:rPr>
        <w:t xml:space="preserve"> </w:t>
      </w:r>
      <w:r w:rsidR="006A00CF" w:rsidRPr="00907794">
        <w:rPr>
          <w:bCs/>
          <w:color w:val="000000"/>
          <w:lang w:val="en-US"/>
        </w:rPr>
        <w:t xml:space="preserve">In 2010, the ministers responsible for higher education in 47 countries of Europe involved in the Bologna Process officially launched </w:t>
      </w:r>
      <w:r w:rsidR="008640B9" w:rsidRPr="00907794">
        <w:rPr>
          <w:bCs/>
          <w:color w:val="000000"/>
          <w:lang w:val="en-US"/>
        </w:rPr>
        <w:t xml:space="preserve">the European Higher Education Area </w:t>
      </w:r>
      <w:r w:rsidR="00EE7335" w:rsidRPr="00907794">
        <w:rPr>
          <w:bCs/>
          <w:color w:val="000000"/>
          <w:lang w:val="en-US"/>
        </w:rPr>
        <w:t>(EHEA). Nowadays, having added a new member and with just one more Ministerial Conference until its tenth anniversary, the EHEA is being confronted with a series of challenges that require</w:t>
      </w:r>
      <w:r w:rsidR="00791BD0" w:rsidRPr="00907794">
        <w:rPr>
          <w:bCs/>
          <w:color w:val="000000"/>
          <w:lang w:val="en-US"/>
        </w:rPr>
        <w:t xml:space="preserve"> a fresh vision and sustained efforts for its consolidation. While recognizing the </w:t>
      </w:r>
      <w:r>
        <w:rPr>
          <w:bCs/>
          <w:color w:val="000000"/>
          <w:lang w:val="en-US"/>
        </w:rPr>
        <w:t>continuous</w:t>
      </w:r>
      <w:r w:rsidRPr="00907794">
        <w:rPr>
          <w:bCs/>
          <w:color w:val="000000"/>
          <w:lang w:val="en-US"/>
        </w:rPr>
        <w:t xml:space="preserve"> </w:t>
      </w:r>
      <w:r w:rsidR="00791BD0" w:rsidRPr="00907794">
        <w:rPr>
          <w:bCs/>
          <w:color w:val="000000"/>
          <w:lang w:val="en-US"/>
        </w:rPr>
        <w:t>efforts and achievements so far in the European higher education landscape, the policy makers and stakeholders involved in the process acknowledge the need to address the newly encountered challenges – such as migrants</w:t>
      </w:r>
      <w:r>
        <w:rPr>
          <w:bCs/>
          <w:color w:val="000000"/>
          <w:lang w:val="en-US"/>
        </w:rPr>
        <w:t>,</w:t>
      </w:r>
      <w:r w:rsidRPr="00907794">
        <w:rPr>
          <w:bCs/>
          <w:color w:val="000000"/>
          <w:lang w:val="en-US"/>
        </w:rPr>
        <w:t xml:space="preserve"> </w:t>
      </w:r>
      <w:r w:rsidR="00791BD0" w:rsidRPr="00907794">
        <w:rPr>
          <w:bCs/>
          <w:color w:val="000000"/>
          <w:lang w:val="en-US"/>
        </w:rPr>
        <w:t>digitalization</w:t>
      </w:r>
      <w:r w:rsidR="00832A7C" w:rsidRPr="00907794">
        <w:rPr>
          <w:bCs/>
          <w:color w:val="000000"/>
          <w:lang w:val="en-US"/>
        </w:rPr>
        <w:t xml:space="preserve"> </w:t>
      </w:r>
      <w:r>
        <w:rPr>
          <w:bCs/>
          <w:color w:val="000000"/>
          <w:lang w:val="en-US"/>
        </w:rPr>
        <w:t xml:space="preserve">or changes in the lifestyle of millennials </w:t>
      </w:r>
      <w:r w:rsidR="00832A7C" w:rsidRPr="00907794">
        <w:rPr>
          <w:bCs/>
          <w:color w:val="000000"/>
          <w:lang w:val="en-US"/>
        </w:rPr>
        <w:t>, while remaining relevant on the international stage.</w:t>
      </w:r>
    </w:p>
    <w:p w14:paraId="46F72E72" w14:textId="77777777" w:rsidR="00791BD0" w:rsidRDefault="00791BD0" w:rsidP="00E91BF4">
      <w:pPr>
        <w:spacing w:after="0" w:line="240" w:lineRule="auto"/>
        <w:jc w:val="both"/>
        <w:rPr>
          <w:bCs/>
          <w:color w:val="000000"/>
          <w:lang w:val="en-US"/>
        </w:rPr>
      </w:pPr>
    </w:p>
    <w:p w14:paraId="79C55918" w14:textId="1951E329" w:rsidR="006A00CF" w:rsidRDefault="006A00CF" w:rsidP="006A00CF">
      <w:pPr>
        <w:widowControl w:val="0"/>
        <w:autoSpaceDE w:val="0"/>
        <w:autoSpaceDN w:val="0"/>
        <w:adjustRightInd w:val="0"/>
        <w:spacing w:after="0" w:line="240" w:lineRule="auto"/>
        <w:jc w:val="both"/>
        <w:rPr>
          <w:bCs/>
          <w:color w:val="000000"/>
          <w:lang w:val="en-US"/>
        </w:rPr>
      </w:pPr>
      <w:r w:rsidRPr="00907794">
        <w:rPr>
          <w:bCs/>
          <w:color w:val="000000"/>
          <w:lang w:val="en-US"/>
        </w:rPr>
        <w:t>The Future of Higher Education – Bologna Process Researchers Conference (FOHE-BPRC) has already established itself as a landmark in the European higher education environment. The two previous editions (</w:t>
      </w:r>
      <w:r w:rsidRPr="00907794">
        <w:rPr>
          <w:bCs/>
          <w:lang w:val="en-US"/>
        </w:rPr>
        <w:t xml:space="preserve">17-19 October 2011, </w:t>
      </w:r>
      <w:r w:rsidRPr="00907794">
        <w:rPr>
          <w:bCs/>
          <w:color w:val="000000"/>
          <w:lang w:val="en-US"/>
        </w:rPr>
        <w:t>24-26 November 2014), with approximately 200 European and international participants</w:t>
      </w:r>
      <w:r w:rsidR="00D55400">
        <w:rPr>
          <w:bCs/>
          <w:color w:val="000000"/>
          <w:lang w:val="en-US"/>
        </w:rPr>
        <w:t xml:space="preserve"> each</w:t>
      </w:r>
      <w:r w:rsidRPr="00907794">
        <w:rPr>
          <w:bCs/>
          <w:color w:val="000000"/>
          <w:lang w:val="en-US"/>
        </w:rPr>
        <w:t>,</w:t>
      </w:r>
      <w:r w:rsidR="00D55400">
        <w:rPr>
          <w:bCs/>
          <w:color w:val="000000"/>
          <w:lang w:val="en-US"/>
        </w:rPr>
        <w:t xml:space="preserve"> covering more than 50 countries each,</w:t>
      </w:r>
      <w:r w:rsidRPr="00907794">
        <w:rPr>
          <w:bCs/>
          <w:color w:val="000000"/>
          <w:lang w:val="en-US"/>
        </w:rPr>
        <w:t xml:space="preserve"> were organized prior to the Ministerial Conferences, thus encouraging a consistent </w:t>
      </w:r>
      <w:r w:rsidRPr="00907794">
        <w:rPr>
          <w:rStyle w:val="apple-style-span"/>
          <w:color w:val="000000"/>
          <w:shd w:val="clear" w:color="auto" w:fill="FFFFFF"/>
          <w:lang w:val="en-US"/>
        </w:rPr>
        <w:t>dialogue between researchers and policy makers. The main conclusions of the FOHE Conferences were presented at the EHEA Ministerial Conferences</w:t>
      </w:r>
      <w:r w:rsidR="00D55400">
        <w:rPr>
          <w:rStyle w:val="apple-style-span"/>
          <w:color w:val="000000"/>
          <w:shd w:val="clear" w:color="auto" w:fill="FFFFFF"/>
          <w:lang w:val="en-US"/>
        </w:rPr>
        <w:t xml:space="preserve"> (2012 and 2015)</w:t>
      </w:r>
      <w:r w:rsidRPr="00907794">
        <w:rPr>
          <w:rStyle w:val="apple-style-span"/>
          <w:color w:val="000000"/>
          <w:shd w:val="clear" w:color="auto" w:fill="FFFFFF"/>
          <w:lang w:val="en-US"/>
        </w:rPr>
        <w:t xml:space="preserve">, </w:t>
      </w:r>
      <w:r w:rsidRPr="00907794">
        <w:rPr>
          <w:bCs/>
          <w:color w:val="000000"/>
          <w:lang w:val="en-US"/>
        </w:rPr>
        <w:t>in order to make the voice of researchers better heard by European policy and decision makers.</w:t>
      </w:r>
    </w:p>
    <w:p w14:paraId="2527855E" w14:textId="77777777" w:rsidR="00583FCD" w:rsidRPr="00907794" w:rsidRDefault="00583FCD" w:rsidP="006A00CF">
      <w:pPr>
        <w:widowControl w:val="0"/>
        <w:autoSpaceDE w:val="0"/>
        <w:autoSpaceDN w:val="0"/>
        <w:adjustRightInd w:val="0"/>
        <w:spacing w:after="0" w:line="240" w:lineRule="auto"/>
        <w:jc w:val="both"/>
        <w:rPr>
          <w:rStyle w:val="apple-style-span"/>
          <w:color w:val="000000"/>
          <w:shd w:val="clear" w:color="auto" w:fill="FFFFFF"/>
          <w:lang w:val="en-US"/>
        </w:rPr>
      </w:pPr>
    </w:p>
    <w:p w14:paraId="192DADFD" w14:textId="57D39241" w:rsidR="006A00CF" w:rsidRPr="00907794" w:rsidRDefault="006A00CF" w:rsidP="006A00CF">
      <w:pPr>
        <w:widowControl w:val="0"/>
        <w:autoSpaceDE w:val="0"/>
        <w:autoSpaceDN w:val="0"/>
        <w:adjustRightInd w:val="0"/>
        <w:spacing w:after="0" w:line="240" w:lineRule="auto"/>
        <w:jc w:val="both"/>
        <w:rPr>
          <w:rStyle w:val="apple-style-span"/>
          <w:color w:val="000000"/>
          <w:shd w:val="clear" w:color="auto" w:fill="FFFFFF"/>
          <w:lang w:val="en-US"/>
        </w:rPr>
      </w:pPr>
      <w:r w:rsidRPr="00907794">
        <w:rPr>
          <w:rStyle w:val="apple-style-span"/>
          <w:color w:val="000000"/>
          <w:shd w:val="clear" w:color="auto" w:fill="FFFFFF"/>
          <w:lang w:val="en-US"/>
        </w:rPr>
        <w:t>For both editions of the conference, the results were made available in the form of a two-volume publication at Springer International Publishing House. The 2012 volumes have been included in the top 25% most downloaded publications on the Springer website (</w:t>
      </w:r>
      <w:r w:rsidR="00781885" w:rsidRPr="00583FCD">
        <w:rPr>
          <w:rStyle w:val="Hyperlink"/>
        </w:rPr>
        <w:t>http://www.springer.com/gp/book/9789400739369).</w:t>
      </w:r>
      <w:r w:rsidRPr="00907794">
        <w:rPr>
          <w:rStyle w:val="apple-style-span"/>
          <w:color w:val="000000"/>
          <w:shd w:val="clear" w:color="auto" w:fill="FFFFFF"/>
          <w:lang w:val="en-US"/>
        </w:rPr>
        <w:t xml:space="preserve"> Moreover, to increase the visibility of the policy relevant discussions, the 2014 articles were made available in open-access format again also on Springer website</w:t>
      </w:r>
      <w:r w:rsidR="00583FCD">
        <w:rPr>
          <w:rStyle w:val="apple-style-span"/>
          <w:color w:val="000000"/>
          <w:shd w:val="clear" w:color="auto" w:fill="FFFFFF"/>
          <w:lang w:val="en-US"/>
        </w:rPr>
        <w:t xml:space="preserve"> and as a result the publication was in the top 3 most downloaded publications on education with over 270.000 downloads</w:t>
      </w:r>
      <w:r w:rsidRPr="00907794">
        <w:rPr>
          <w:rStyle w:val="apple-style-span"/>
          <w:color w:val="000000"/>
          <w:shd w:val="clear" w:color="auto" w:fill="FFFFFF"/>
          <w:lang w:val="en-US"/>
        </w:rPr>
        <w:t xml:space="preserve"> </w:t>
      </w:r>
      <w:r w:rsidR="00583FCD">
        <w:rPr>
          <w:rStyle w:val="apple-style-span"/>
          <w:color w:val="000000"/>
          <w:shd w:val="clear" w:color="auto" w:fill="FFFFFF"/>
          <w:lang w:val="en-US"/>
        </w:rPr>
        <w:t>(</w:t>
      </w:r>
      <w:hyperlink r:id="rId8" w:history="1">
        <w:r w:rsidRPr="00907794">
          <w:rPr>
            <w:rStyle w:val="Hyperlink"/>
            <w:shd w:val="clear" w:color="auto" w:fill="FFFFFF"/>
            <w:lang w:val="en-US"/>
          </w:rPr>
          <w:t>http://www.springer.com/gp/book/9783319187679</w:t>
        </w:r>
      </w:hyperlink>
      <w:r w:rsidR="00583FCD">
        <w:rPr>
          <w:rStyle w:val="Hyperlink"/>
          <w:shd w:val="clear" w:color="auto" w:fill="FFFFFF"/>
          <w:lang w:val="en-US"/>
        </w:rPr>
        <w:t>)</w:t>
      </w:r>
      <w:r w:rsidRPr="00907794">
        <w:rPr>
          <w:rStyle w:val="apple-style-span"/>
          <w:color w:val="000000"/>
          <w:shd w:val="clear" w:color="auto" w:fill="FFFFFF"/>
          <w:lang w:val="en-US"/>
        </w:rPr>
        <w:t>. The volumes were furthermore disseminated to the participants at the EHEA Ministerial Conferences.</w:t>
      </w:r>
    </w:p>
    <w:p w14:paraId="087882C1" w14:textId="77777777" w:rsidR="006A00CF" w:rsidRPr="00907794" w:rsidRDefault="006A00CF" w:rsidP="006A00CF">
      <w:pPr>
        <w:widowControl w:val="0"/>
        <w:autoSpaceDE w:val="0"/>
        <w:autoSpaceDN w:val="0"/>
        <w:adjustRightInd w:val="0"/>
        <w:spacing w:after="0" w:line="240" w:lineRule="auto"/>
        <w:jc w:val="both"/>
        <w:rPr>
          <w:rStyle w:val="apple-style-span"/>
          <w:color w:val="000000"/>
          <w:shd w:val="clear" w:color="auto" w:fill="FFFFFF"/>
          <w:lang w:val="en-US"/>
        </w:rPr>
      </w:pPr>
    </w:p>
    <w:p w14:paraId="123CD04D" w14:textId="77777777" w:rsidR="006A00CF" w:rsidRPr="00907794" w:rsidRDefault="006A00CF" w:rsidP="006A00CF">
      <w:pPr>
        <w:widowControl w:val="0"/>
        <w:autoSpaceDE w:val="0"/>
        <w:autoSpaceDN w:val="0"/>
        <w:adjustRightInd w:val="0"/>
        <w:spacing w:after="0" w:line="240" w:lineRule="auto"/>
        <w:jc w:val="both"/>
        <w:rPr>
          <w:rStyle w:val="apple-style-span"/>
          <w:color w:val="000000"/>
          <w:shd w:val="clear" w:color="auto" w:fill="FFFFFF"/>
          <w:lang w:val="en-US"/>
        </w:rPr>
      </w:pPr>
      <w:r w:rsidRPr="00907794">
        <w:rPr>
          <w:rStyle w:val="apple-style-span"/>
          <w:color w:val="000000"/>
          <w:shd w:val="clear" w:color="auto" w:fill="FFFFFF"/>
          <w:lang w:val="en-US"/>
        </w:rPr>
        <w:t xml:space="preserve">The results were also disseminated via the conference website, which still remains available for those interested: </w:t>
      </w:r>
      <w:hyperlink r:id="rId9" w:history="1">
        <w:r w:rsidRPr="00907794">
          <w:rPr>
            <w:rStyle w:val="Hyperlink"/>
            <w:shd w:val="clear" w:color="auto" w:fill="FFFFFF"/>
            <w:lang w:val="en-US"/>
          </w:rPr>
          <w:t>http://fohe-bprc.forhe.ro/</w:t>
        </w:r>
      </w:hyperlink>
      <w:r w:rsidRPr="00907794">
        <w:rPr>
          <w:rStyle w:val="apple-style-span"/>
          <w:color w:val="000000"/>
          <w:shd w:val="clear" w:color="auto" w:fill="FFFFFF"/>
          <w:lang w:val="en-US"/>
        </w:rPr>
        <w:t xml:space="preserve">.  </w:t>
      </w:r>
    </w:p>
    <w:p w14:paraId="420FD790" w14:textId="77777777" w:rsidR="006A00CF" w:rsidRPr="00907794" w:rsidRDefault="006A00CF" w:rsidP="006A00CF">
      <w:pPr>
        <w:widowControl w:val="0"/>
        <w:autoSpaceDE w:val="0"/>
        <w:autoSpaceDN w:val="0"/>
        <w:adjustRightInd w:val="0"/>
        <w:spacing w:after="0" w:line="240" w:lineRule="auto"/>
        <w:jc w:val="both"/>
        <w:rPr>
          <w:b/>
          <w:bCs/>
          <w:color w:val="000000"/>
          <w:lang w:val="en-US"/>
        </w:rPr>
      </w:pPr>
    </w:p>
    <w:p w14:paraId="74CD94FD" w14:textId="2BC25CD7" w:rsidR="006A00CF" w:rsidRPr="00907794" w:rsidRDefault="006A00CF" w:rsidP="006A00CF">
      <w:pPr>
        <w:widowControl w:val="0"/>
        <w:autoSpaceDE w:val="0"/>
        <w:autoSpaceDN w:val="0"/>
        <w:adjustRightInd w:val="0"/>
        <w:spacing w:after="0" w:line="240" w:lineRule="auto"/>
        <w:jc w:val="both"/>
        <w:rPr>
          <w:bCs/>
          <w:color w:val="000000"/>
          <w:lang w:val="en-US"/>
        </w:rPr>
      </w:pPr>
      <w:r w:rsidRPr="00907794">
        <w:rPr>
          <w:bCs/>
          <w:color w:val="000000"/>
          <w:lang w:val="en-US"/>
        </w:rPr>
        <w:t>Acknowledging the importance of a continued dialogue between researchers and decision-makers and benefiting from the experience already acquired, Romania plans to organize the third edition of the Future of Higher Education – Bologna Process Research</w:t>
      </w:r>
      <w:r w:rsidR="00832A7C" w:rsidRPr="00907794">
        <w:rPr>
          <w:bCs/>
          <w:color w:val="000000"/>
          <w:lang w:val="en-US"/>
        </w:rPr>
        <w:t xml:space="preserve">ers Conference (FOHE-BPRC 3) on 27-29 November </w:t>
      </w:r>
      <w:r w:rsidRPr="00907794">
        <w:rPr>
          <w:bCs/>
          <w:color w:val="000000"/>
          <w:lang w:val="en-US"/>
        </w:rPr>
        <w:t xml:space="preserve">2017, this enabling the higher education community to bring its input into the 2018-2020 EHEA priorities, through potential recommendations </w:t>
      </w:r>
      <w:r w:rsidR="00583FCD">
        <w:rPr>
          <w:bCs/>
          <w:color w:val="000000"/>
          <w:lang w:val="en-US"/>
        </w:rPr>
        <w:t>to</w:t>
      </w:r>
      <w:r w:rsidR="00583FCD" w:rsidRPr="00907794">
        <w:rPr>
          <w:bCs/>
          <w:color w:val="000000"/>
          <w:lang w:val="en-US"/>
        </w:rPr>
        <w:t xml:space="preserve"> </w:t>
      </w:r>
      <w:r w:rsidRPr="00907794">
        <w:rPr>
          <w:bCs/>
          <w:color w:val="000000"/>
          <w:lang w:val="en-US"/>
        </w:rPr>
        <w:t xml:space="preserve">the Ministerial Communique </w:t>
      </w:r>
      <w:r w:rsidR="00583FCD">
        <w:rPr>
          <w:bCs/>
          <w:color w:val="000000"/>
          <w:lang w:val="en-US"/>
        </w:rPr>
        <w:t xml:space="preserve">from 2018 </w:t>
      </w:r>
      <w:r w:rsidRPr="00907794">
        <w:rPr>
          <w:bCs/>
          <w:color w:val="000000"/>
          <w:lang w:val="en-US"/>
        </w:rPr>
        <w:t>and the future B</w:t>
      </w:r>
      <w:r w:rsidR="008E2788" w:rsidRPr="00907794">
        <w:rPr>
          <w:bCs/>
          <w:color w:val="000000"/>
          <w:lang w:val="en-US"/>
        </w:rPr>
        <w:t xml:space="preserve">ologna </w:t>
      </w:r>
      <w:r w:rsidRPr="00907794">
        <w:rPr>
          <w:bCs/>
          <w:color w:val="000000"/>
          <w:lang w:val="en-US"/>
        </w:rPr>
        <w:t>F</w:t>
      </w:r>
      <w:r w:rsidR="008E2788" w:rsidRPr="00907794">
        <w:rPr>
          <w:bCs/>
          <w:color w:val="000000"/>
          <w:lang w:val="en-US"/>
        </w:rPr>
        <w:t>ollow-</w:t>
      </w:r>
      <w:r w:rsidRPr="00907794">
        <w:rPr>
          <w:bCs/>
          <w:color w:val="000000"/>
          <w:lang w:val="en-US"/>
        </w:rPr>
        <w:t>U</w:t>
      </w:r>
      <w:r w:rsidR="008E2788" w:rsidRPr="00907794">
        <w:rPr>
          <w:bCs/>
          <w:color w:val="000000"/>
          <w:lang w:val="en-US"/>
        </w:rPr>
        <w:t xml:space="preserve">p </w:t>
      </w:r>
      <w:r w:rsidRPr="00907794">
        <w:rPr>
          <w:bCs/>
          <w:color w:val="000000"/>
          <w:lang w:val="en-US"/>
        </w:rPr>
        <w:t>G</w:t>
      </w:r>
      <w:r w:rsidR="008E2788" w:rsidRPr="00907794">
        <w:rPr>
          <w:bCs/>
          <w:color w:val="000000"/>
          <w:lang w:val="en-US"/>
        </w:rPr>
        <w:t>roup</w:t>
      </w:r>
      <w:r w:rsidRPr="00907794">
        <w:rPr>
          <w:bCs/>
          <w:color w:val="000000"/>
          <w:lang w:val="en-US"/>
        </w:rPr>
        <w:t xml:space="preserve"> Work Plan. </w:t>
      </w:r>
    </w:p>
    <w:p w14:paraId="4EC86B33" w14:textId="77777777" w:rsidR="006A00CF" w:rsidRPr="00907794" w:rsidRDefault="006A00CF" w:rsidP="00E91BF4">
      <w:pPr>
        <w:spacing w:after="0" w:line="240" w:lineRule="auto"/>
        <w:jc w:val="both"/>
        <w:rPr>
          <w:bCs/>
          <w:color w:val="000000"/>
          <w:lang w:val="en-US"/>
        </w:rPr>
      </w:pPr>
    </w:p>
    <w:p w14:paraId="27C61BC4" w14:textId="514628CD" w:rsidR="008640B9" w:rsidRPr="00907794" w:rsidRDefault="008E2788" w:rsidP="00E91BF4">
      <w:pPr>
        <w:spacing w:after="0" w:line="240" w:lineRule="auto"/>
        <w:jc w:val="both"/>
        <w:rPr>
          <w:bCs/>
          <w:color w:val="000000"/>
          <w:lang w:val="en-US"/>
        </w:rPr>
      </w:pPr>
      <w:r w:rsidRPr="00907794">
        <w:rPr>
          <w:bCs/>
          <w:color w:val="000000"/>
          <w:lang w:val="en-US"/>
        </w:rPr>
        <w:lastRenderedPageBreak/>
        <w:t>The</w:t>
      </w:r>
      <w:r w:rsidR="008640B9" w:rsidRPr="00907794">
        <w:rPr>
          <w:bCs/>
          <w:color w:val="000000"/>
          <w:lang w:val="en-US"/>
        </w:rPr>
        <w:t xml:space="preserve"> 201</w:t>
      </w:r>
      <w:r w:rsidRPr="00907794">
        <w:rPr>
          <w:bCs/>
          <w:color w:val="000000"/>
          <w:lang w:val="en-US"/>
        </w:rPr>
        <w:t>7</w:t>
      </w:r>
      <w:r w:rsidR="008640B9" w:rsidRPr="00907794">
        <w:rPr>
          <w:bCs/>
          <w:color w:val="000000"/>
          <w:lang w:val="en-US"/>
        </w:rPr>
        <w:t xml:space="preserve"> edition of the </w:t>
      </w:r>
      <w:r w:rsidR="008640B9" w:rsidRPr="00907794">
        <w:rPr>
          <w:rFonts w:cs="ArialMT"/>
          <w:color w:val="000000"/>
          <w:szCs w:val="26"/>
          <w:lang w:val="en-US"/>
        </w:rPr>
        <w:t xml:space="preserve">Bologna Process Researchers’ Conference </w:t>
      </w:r>
      <w:r w:rsidR="008640B9" w:rsidRPr="00907794">
        <w:rPr>
          <w:bCs/>
          <w:color w:val="000000"/>
          <w:lang w:val="en-US"/>
        </w:rPr>
        <w:t xml:space="preserve">is dedicated to continuing the collection of evidence </w:t>
      </w:r>
      <w:r w:rsidR="00BF69AC" w:rsidRPr="00907794">
        <w:rPr>
          <w:bCs/>
          <w:color w:val="000000"/>
          <w:lang w:val="en-US"/>
        </w:rPr>
        <w:t>and research-</w:t>
      </w:r>
      <w:r w:rsidR="008640B9" w:rsidRPr="00907794">
        <w:rPr>
          <w:bCs/>
          <w:color w:val="000000"/>
          <w:lang w:val="en-US"/>
        </w:rPr>
        <w:t xml:space="preserve">based </w:t>
      </w:r>
      <w:r w:rsidR="004F1FF5" w:rsidRPr="00907794">
        <w:rPr>
          <w:bCs/>
          <w:color w:val="000000"/>
          <w:lang w:val="en-US"/>
        </w:rPr>
        <w:t>policymaking</w:t>
      </w:r>
      <w:r w:rsidR="0075131C" w:rsidRPr="00907794">
        <w:rPr>
          <w:bCs/>
          <w:color w:val="000000"/>
          <w:lang w:val="en-US"/>
        </w:rPr>
        <w:t xml:space="preserve"> </w:t>
      </w:r>
      <w:r w:rsidR="008640B9" w:rsidRPr="00907794">
        <w:rPr>
          <w:bCs/>
          <w:color w:val="000000"/>
          <w:lang w:val="en-US"/>
        </w:rPr>
        <w:t xml:space="preserve">and further narrowing the </w:t>
      </w:r>
      <w:r w:rsidR="008640B9" w:rsidRPr="00907794">
        <w:rPr>
          <w:rFonts w:cs="ArialMT"/>
          <w:color w:val="000000"/>
          <w:szCs w:val="26"/>
          <w:lang w:val="en-US"/>
        </w:rPr>
        <w:t xml:space="preserve">gap between policy and research within the EHEA </w:t>
      </w:r>
      <w:r w:rsidR="004F1FF5" w:rsidRPr="00907794">
        <w:rPr>
          <w:rFonts w:cs="ArialMT"/>
          <w:color w:val="000000"/>
          <w:szCs w:val="26"/>
          <w:lang w:val="en-US"/>
        </w:rPr>
        <w:t xml:space="preserve">and broader global </w:t>
      </w:r>
      <w:r w:rsidR="008640B9" w:rsidRPr="00907794">
        <w:rPr>
          <w:rFonts w:cs="ArialMT"/>
          <w:color w:val="000000"/>
          <w:szCs w:val="26"/>
          <w:lang w:val="en-US"/>
        </w:rPr>
        <w:t>context</w:t>
      </w:r>
      <w:r w:rsidR="004F1FF5" w:rsidRPr="00907794">
        <w:rPr>
          <w:rFonts w:cs="ArialMT"/>
          <w:color w:val="000000"/>
          <w:szCs w:val="26"/>
          <w:lang w:val="en-US"/>
        </w:rPr>
        <w:t>s</w:t>
      </w:r>
      <w:r w:rsidR="00BA56D3">
        <w:rPr>
          <w:rFonts w:cs="ArialMT"/>
          <w:color w:val="000000"/>
          <w:szCs w:val="26"/>
          <w:lang w:val="en-US"/>
        </w:rPr>
        <w:t>. Also, the conference aims to identify the research areas that require more attention prior to the anniversary 2020 EHEA Ministerial Conference,</w:t>
      </w:r>
      <w:r w:rsidRPr="00907794">
        <w:rPr>
          <w:rFonts w:cs="ArialMT"/>
          <w:color w:val="000000"/>
          <w:szCs w:val="26"/>
          <w:lang w:val="en-US"/>
        </w:rPr>
        <w:t xml:space="preserve"> with an emphasis on the new issues on </w:t>
      </w:r>
      <w:r w:rsidR="00BA56D3" w:rsidRPr="00907794">
        <w:rPr>
          <w:rFonts w:cs="ArialMT"/>
          <w:color w:val="000000"/>
          <w:szCs w:val="26"/>
          <w:lang w:val="en-US"/>
        </w:rPr>
        <w:t>ris</w:t>
      </w:r>
      <w:r w:rsidR="00BA56D3">
        <w:rPr>
          <w:rFonts w:cs="ArialMT"/>
          <w:color w:val="000000"/>
          <w:szCs w:val="26"/>
          <w:lang w:val="en-US"/>
        </w:rPr>
        <w:t>e</w:t>
      </w:r>
      <w:r w:rsidR="00BA56D3" w:rsidRPr="00907794">
        <w:rPr>
          <w:rFonts w:cs="ArialMT"/>
          <w:color w:val="000000"/>
          <w:szCs w:val="26"/>
          <w:lang w:val="en-US"/>
        </w:rPr>
        <w:t xml:space="preserve"> </w:t>
      </w:r>
      <w:r w:rsidRPr="00907794">
        <w:rPr>
          <w:rFonts w:cs="ArialMT"/>
          <w:color w:val="000000"/>
          <w:szCs w:val="26"/>
          <w:lang w:val="en-US"/>
        </w:rPr>
        <w:t>in the academic and educational community</w:t>
      </w:r>
      <w:r w:rsidR="00022D83">
        <w:rPr>
          <w:rFonts w:cs="ArialMT"/>
          <w:color w:val="000000"/>
          <w:szCs w:val="26"/>
          <w:lang w:val="en-US"/>
        </w:rPr>
        <w:t>.</w:t>
      </w:r>
      <w:r w:rsidR="008640B9" w:rsidRPr="00907794" w:rsidDel="008847B8">
        <w:rPr>
          <w:rFonts w:cs="ArialMT"/>
          <w:color w:val="000000"/>
          <w:szCs w:val="26"/>
          <w:lang w:val="en-US"/>
        </w:rPr>
        <w:t xml:space="preserve"> </w:t>
      </w:r>
      <w:r w:rsidR="008640B9" w:rsidRPr="00907794">
        <w:rPr>
          <w:bCs/>
          <w:color w:val="000000"/>
          <w:lang w:val="en-US"/>
        </w:rPr>
        <w:t xml:space="preserve">The conference will </w:t>
      </w:r>
      <w:r w:rsidR="008640B9" w:rsidRPr="00907794">
        <w:rPr>
          <w:lang w:val="en-US"/>
        </w:rPr>
        <w:t>enable discussion</w:t>
      </w:r>
      <w:r w:rsidR="00F0215C" w:rsidRPr="00907794">
        <w:rPr>
          <w:lang w:val="en-US"/>
        </w:rPr>
        <w:t>s</w:t>
      </w:r>
      <w:r w:rsidR="008640B9" w:rsidRPr="00907794">
        <w:rPr>
          <w:lang w:val="en-US"/>
        </w:rPr>
        <w:t xml:space="preserve"> on key issues between </w:t>
      </w:r>
      <w:r w:rsidR="004F1FF5" w:rsidRPr="00907794">
        <w:rPr>
          <w:lang w:val="en-US"/>
        </w:rPr>
        <w:t xml:space="preserve">researchers, </w:t>
      </w:r>
      <w:r w:rsidR="008640B9" w:rsidRPr="00907794">
        <w:rPr>
          <w:lang w:val="en-US"/>
        </w:rPr>
        <w:t xml:space="preserve">various </w:t>
      </w:r>
      <w:r w:rsidR="00BF69AC" w:rsidRPr="00907794">
        <w:rPr>
          <w:lang w:val="en-US"/>
        </w:rPr>
        <w:t xml:space="preserve">direct higher education </w:t>
      </w:r>
      <w:r w:rsidR="008640B9" w:rsidRPr="00907794">
        <w:rPr>
          <w:lang w:val="en-US"/>
        </w:rPr>
        <w:t>actors</w:t>
      </w:r>
      <w:r w:rsidR="004F1FF5" w:rsidRPr="00907794">
        <w:rPr>
          <w:lang w:val="en-US"/>
        </w:rPr>
        <w:t>, decision-makers</w:t>
      </w:r>
      <w:r w:rsidR="00BF69AC" w:rsidRPr="00907794">
        <w:rPr>
          <w:lang w:val="en-US"/>
        </w:rPr>
        <w:t>,</w:t>
      </w:r>
      <w:r w:rsidR="004F1FF5" w:rsidRPr="00907794">
        <w:rPr>
          <w:lang w:val="en-US"/>
        </w:rPr>
        <w:t xml:space="preserve"> and the wider public</w:t>
      </w:r>
      <w:r w:rsidR="00781885">
        <w:rPr>
          <w:lang w:val="en-US"/>
        </w:rPr>
        <w:t xml:space="preserve"> are also expected to participate</w:t>
      </w:r>
    </w:p>
    <w:p w14:paraId="7623FAED" w14:textId="77777777" w:rsidR="00E91BF4" w:rsidRPr="00907794" w:rsidRDefault="00E91BF4" w:rsidP="00E91BF4">
      <w:pPr>
        <w:widowControl w:val="0"/>
        <w:autoSpaceDE w:val="0"/>
        <w:autoSpaceDN w:val="0"/>
        <w:adjustRightInd w:val="0"/>
        <w:spacing w:after="0" w:line="240" w:lineRule="auto"/>
        <w:jc w:val="both"/>
        <w:rPr>
          <w:rStyle w:val="apple-style-span"/>
          <w:rFonts w:cs="Tahoma"/>
          <w:b/>
          <w:color w:val="000000"/>
          <w:szCs w:val="18"/>
          <w:lang w:val="en-US"/>
        </w:rPr>
      </w:pPr>
    </w:p>
    <w:p w14:paraId="072199B9" w14:textId="0EB69904" w:rsidR="004E1BB1" w:rsidRPr="00907794" w:rsidRDefault="0074620F" w:rsidP="00FC6820">
      <w:pPr>
        <w:pStyle w:val="Heading1"/>
        <w:rPr>
          <w:rStyle w:val="apple-style-span"/>
          <w:rFonts w:cs="Tahoma"/>
          <w:b w:val="0"/>
          <w:color w:val="000000"/>
          <w:sz w:val="24"/>
          <w:szCs w:val="18"/>
        </w:rPr>
      </w:pPr>
      <w:r w:rsidRPr="00907794">
        <w:rPr>
          <w:rStyle w:val="apple-style-span"/>
          <w:rFonts w:cs="Tahoma"/>
          <w:color w:val="000000"/>
          <w:sz w:val="24"/>
          <w:szCs w:val="18"/>
        </w:rPr>
        <w:t>Target group</w:t>
      </w:r>
      <w:r w:rsidR="000A5EAE" w:rsidRPr="00907794">
        <w:rPr>
          <w:rStyle w:val="apple-style-span"/>
          <w:rFonts w:cs="Tahoma"/>
          <w:color w:val="000000"/>
          <w:sz w:val="24"/>
          <w:szCs w:val="18"/>
        </w:rPr>
        <w:t>s</w:t>
      </w:r>
    </w:p>
    <w:p w14:paraId="2F130834" w14:textId="77777777" w:rsidR="00E91BF4" w:rsidRPr="00907794" w:rsidRDefault="00E91BF4" w:rsidP="00E91BF4">
      <w:pPr>
        <w:widowControl w:val="0"/>
        <w:autoSpaceDE w:val="0"/>
        <w:autoSpaceDN w:val="0"/>
        <w:adjustRightInd w:val="0"/>
        <w:spacing w:after="0" w:line="240" w:lineRule="auto"/>
        <w:jc w:val="both"/>
        <w:rPr>
          <w:bCs/>
          <w:color w:val="000000"/>
          <w:lang w:val="en-US"/>
        </w:rPr>
      </w:pPr>
    </w:p>
    <w:p w14:paraId="082E7D00" w14:textId="5F94246C" w:rsidR="0074620F" w:rsidRPr="00907794" w:rsidRDefault="007874BE" w:rsidP="00E91BF4">
      <w:pPr>
        <w:widowControl w:val="0"/>
        <w:autoSpaceDE w:val="0"/>
        <w:autoSpaceDN w:val="0"/>
        <w:adjustRightInd w:val="0"/>
        <w:spacing w:after="0" w:line="240" w:lineRule="auto"/>
        <w:jc w:val="both"/>
        <w:rPr>
          <w:bCs/>
          <w:color w:val="000000"/>
          <w:lang w:val="en-US"/>
        </w:rPr>
      </w:pPr>
      <w:r w:rsidRPr="00907794">
        <w:rPr>
          <w:bCs/>
          <w:color w:val="000000"/>
          <w:lang w:val="en-US"/>
        </w:rPr>
        <w:t xml:space="preserve">Following </w:t>
      </w:r>
      <w:r w:rsidR="008E2788" w:rsidRPr="00907794">
        <w:rPr>
          <w:bCs/>
          <w:color w:val="000000"/>
          <w:lang w:val="en-US"/>
        </w:rPr>
        <w:t>the tradition of the</w:t>
      </w:r>
      <w:r w:rsidRPr="00907794">
        <w:rPr>
          <w:bCs/>
          <w:color w:val="000000"/>
          <w:lang w:val="en-US"/>
        </w:rPr>
        <w:t xml:space="preserve"> 2011</w:t>
      </w:r>
      <w:r w:rsidR="008E2788" w:rsidRPr="00907794">
        <w:rPr>
          <w:bCs/>
          <w:color w:val="000000"/>
          <w:lang w:val="en-US"/>
        </w:rPr>
        <w:t xml:space="preserve"> and 2014 events</w:t>
      </w:r>
      <w:r w:rsidRPr="00907794">
        <w:rPr>
          <w:bCs/>
          <w:color w:val="000000"/>
          <w:lang w:val="en-US"/>
        </w:rPr>
        <w:t xml:space="preserve">, the </w:t>
      </w:r>
      <w:r w:rsidR="008E2788" w:rsidRPr="00907794">
        <w:rPr>
          <w:bCs/>
          <w:color w:val="000000"/>
          <w:lang w:val="en-US"/>
        </w:rPr>
        <w:t xml:space="preserve">third </w:t>
      </w:r>
      <w:r w:rsidRPr="00907794">
        <w:rPr>
          <w:bCs/>
          <w:color w:val="000000"/>
          <w:lang w:val="en-US"/>
        </w:rPr>
        <w:t xml:space="preserve">edition of the Conference </w:t>
      </w:r>
      <w:r w:rsidR="008E2788" w:rsidRPr="00907794">
        <w:rPr>
          <w:bCs/>
          <w:color w:val="000000"/>
          <w:lang w:val="en-US"/>
        </w:rPr>
        <w:t>aims</w:t>
      </w:r>
      <w:r w:rsidRPr="00907794">
        <w:rPr>
          <w:bCs/>
          <w:color w:val="000000"/>
          <w:lang w:val="en-US"/>
        </w:rPr>
        <w:t xml:space="preserve"> to bring together higher education researchers,</w:t>
      </w:r>
      <w:r w:rsidR="00BA56D3">
        <w:rPr>
          <w:bCs/>
          <w:color w:val="000000"/>
          <w:lang w:val="en-US"/>
        </w:rPr>
        <w:t xml:space="preserve"> representatives of research networks and of main journals/ publishing houses,</w:t>
      </w:r>
      <w:r w:rsidRPr="00907794">
        <w:rPr>
          <w:bCs/>
          <w:color w:val="000000"/>
          <w:lang w:val="en-US"/>
        </w:rPr>
        <w:t xml:space="preserve"> leading academics, policy makers</w:t>
      </w:r>
      <w:r w:rsidR="008E2788" w:rsidRPr="00907794">
        <w:rPr>
          <w:bCs/>
          <w:color w:val="000000"/>
          <w:lang w:val="en-US"/>
        </w:rPr>
        <w:t xml:space="preserve"> and students</w:t>
      </w:r>
      <w:r w:rsidRPr="00907794">
        <w:rPr>
          <w:bCs/>
          <w:color w:val="000000"/>
          <w:lang w:val="en-US"/>
        </w:rPr>
        <w:t xml:space="preserve"> </w:t>
      </w:r>
      <w:r w:rsidR="008E2788" w:rsidRPr="00907794">
        <w:rPr>
          <w:bCs/>
          <w:color w:val="000000"/>
          <w:lang w:val="en-US"/>
        </w:rPr>
        <w:t>focused on</w:t>
      </w:r>
      <w:r w:rsidRPr="00907794">
        <w:rPr>
          <w:bCs/>
          <w:color w:val="000000"/>
          <w:lang w:val="en-US"/>
        </w:rPr>
        <w:t xml:space="preserve"> research activities </w:t>
      </w:r>
      <w:r w:rsidR="008E2788" w:rsidRPr="00907794">
        <w:rPr>
          <w:bCs/>
          <w:color w:val="000000"/>
          <w:lang w:val="en-US"/>
        </w:rPr>
        <w:t>in connection to</w:t>
      </w:r>
      <w:r w:rsidRPr="00907794">
        <w:rPr>
          <w:bCs/>
          <w:color w:val="000000"/>
          <w:lang w:val="en-US"/>
        </w:rPr>
        <w:t xml:space="preserve"> the Bologna Process</w:t>
      </w:r>
      <w:r w:rsidR="008E2788" w:rsidRPr="00907794">
        <w:rPr>
          <w:bCs/>
          <w:color w:val="000000"/>
          <w:lang w:val="en-US"/>
        </w:rPr>
        <w:t>, or interested</w:t>
      </w:r>
      <w:r w:rsidRPr="00907794">
        <w:rPr>
          <w:bCs/>
          <w:color w:val="000000"/>
          <w:lang w:val="en-US"/>
        </w:rPr>
        <w:t xml:space="preserve"> </w:t>
      </w:r>
      <w:r w:rsidR="008E2788" w:rsidRPr="00907794">
        <w:rPr>
          <w:bCs/>
          <w:color w:val="000000"/>
          <w:lang w:val="en-US"/>
        </w:rPr>
        <w:t xml:space="preserve">overall </w:t>
      </w:r>
      <w:r w:rsidRPr="00907794">
        <w:rPr>
          <w:rFonts w:cs="Calibri"/>
          <w:bCs/>
          <w:color w:val="000000"/>
          <w:lang w:val="en-US"/>
        </w:rPr>
        <w:t xml:space="preserve">evolution of the process. </w:t>
      </w:r>
      <w:r w:rsidRPr="00907794">
        <w:rPr>
          <w:color w:val="000000"/>
          <w:lang w:val="en-US"/>
        </w:rPr>
        <w:t>The conference is open to all those that have been involved in the establishment of the EHEA</w:t>
      </w:r>
      <w:r w:rsidR="004F1FF5" w:rsidRPr="00907794">
        <w:rPr>
          <w:color w:val="000000"/>
          <w:lang w:val="en-US"/>
        </w:rPr>
        <w:t>, as well as to those involved in international level higher education policy making</w:t>
      </w:r>
      <w:r w:rsidR="00781885">
        <w:rPr>
          <w:color w:val="000000"/>
          <w:lang w:val="en-US"/>
        </w:rPr>
        <w:t xml:space="preserve">. </w:t>
      </w:r>
      <w:r w:rsidR="00583FCD">
        <w:rPr>
          <w:color w:val="000000"/>
          <w:lang w:val="en-US"/>
        </w:rPr>
        <w:t>A call for contributions i</w:t>
      </w:r>
      <w:r w:rsidR="00781885">
        <w:rPr>
          <w:color w:val="000000"/>
          <w:lang w:val="en-US"/>
        </w:rPr>
        <w:t xml:space="preserve">s to be </w:t>
      </w:r>
      <w:r w:rsidR="00583FCD">
        <w:rPr>
          <w:color w:val="000000"/>
          <w:lang w:val="en-US"/>
        </w:rPr>
        <w:t>announced</w:t>
      </w:r>
      <w:r w:rsidR="00781885">
        <w:rPr>
          <w:color w:val="000000"/>
          <w:lang w:val="en-US"/>
        </w:rPr>
        <w:t xml:space="preserve"> in </w:t>
      </w:r>
      <w:r w:rsidR="00583FCD">
        <w:rPr>
          <w:color w:val="000000"/>
          <w:lang w:val="en-US"/>
        </w:rPr>
        <w:t>mid-June</w:t>
      </w:r>
      <w:r w:rsidR="00781885">
        <w:rPr>
          <w:color w:val="000000"/>
          <w:lang w:val="en-US"/>
        </w:rPr>
        <w:t>.</w:t>
      </w:r>
      <w:r w:rsidR="00583FCD">
        <w:rPr>
          <w:color w:val="000000"/>
          <w:lang w:val="en-US"/>
        </w:rPr>
        <w:t xml:space="preserve"> T</w:t>
      </w:r>
      <w:r w:rsidR="008103C5" w:rsidRPr="00907794">
        <w:rPr>
          <w:color w:val="000000"/>
          <w:lang w:val="en-US"/>
        </w:rPr>
        <w:t>hose that will submit a paper for the conference</w:t>
      </w:r>
      <w:r w:rsidR="00583FCD">
        <w:rPr>
          <w:color w:val="000000"/>
          <w:lang w:val="en-US"/>
        </w:rPr>
        <w:t>,</w:t>
      </w:r>
      <w:r w:rsidR="008103C5" w:rsidRPr="00907794">
        <w:rPr>
          <w:color w:val="000000"/>
          <w:lang w:val="en-US"/>
        </w:rPr>
        <w:t xml:space="preserve"> will be selected by the Editorial Board, </w:t>
      </w:r>
      <w:r w:rsidR="00583FCD">
        <w:rPr>
          <w:color w:val="000000"/>
          <w:lang w:val="en-US"/>
        </w:rPr>
        <w:t xml:space="preserve">and will be </w:t>
      </w:r>
      <w:r w:rsidR="008103C5" w:rsidRPr="00907794">
        <w:rPr>
          <w:color w:val="000000"/>
          <w:lang w:val="en-US"/>
        </w:rPr>
        <w:t xml:space="preserve">invited to </w:t>
      </w:r>
      <w:r w:rsidR="00022D83">
        <w:rPr>
          <w:color w:val="000000"/>
          <w:lang w:val="en-US"/>
        </w:rPr>
        <w:t xml:space="preserve">present their contributions </w:t>
      </w:r>
      <w:r w:rsidR="008103C5" w:rsidRPr="00907794">
        <w:rPr>
          <w:color w:val="000000"/>
          <w:lang w:val="en-US"/>
        </w:rPr>
        <w:t>during the conference parallel sessions</w:t>
      </w:r>
      <w:r w:rsidRPr="00907794">
        <w:rPr>
          <w:color w:val="000000"/>
          <w:lang w:val="en-US"/>
        </w:rPr>
        <w:t>.</w:t>
      </w:r>
      <w:r w:rsidR="00316C77" w:rsidRPr="00907794">
        <w:rPr>
          <w:rFonts w:cs="Calibri"/>
          <w:bCs/>
          <w:color w:val="000000"/>
          <w:lang w:val="en-US"/>
        </w:rPr>
        <w:t xml:space="preserve"> </w:t>
      </w:r>
    </w:p>
    <w:p w14:paraId="7A7E0EC3" w14:textId="77777777" w:rsidR="00E91BF4" w:rsidRPr="00907794" w:rsidRDefault="00E91BF4" w:rsidP="00E91BF4">
      <w:pPr>
        <w:spacing w:after="0" w:line="240" w:lineRule="auto"/>
        <w:rPr>
          <w:b/>
          <w:bCs/>
          <w:color w:val="000000"/>
          <w:lang w:val="en-US"/>
        </w:rPr>
      </w:pPr>
    </w:p>
    <w:p w14:paraId="51093DA8" w14:textId="77777777" w:rsidR="0074620F" w:rsidRPr="00907794" w:rsidRDefault="002200D0" w:rsidP="00FC6820">
      <w:pPr>
        <w:pStyle w:val="Heading1"/>
        <w:rPr>
          <w:b w:val="0"/>
          <w:bCs w:val="0"/>
          <w:color w:val="000000"/>
          <w:sz w:val="24"/>
        </w:rPr>
      </w:pPr>
      <w:r w:rsidRPr="00907794">
        <w:rPr>
          <w:color w:val="000000"/>
          <w:sz w:val="24"/>
        </w:rPr>
        <w:t>C</w:t>
      </w:r>
      <w:r w:rsidR="0074620F" w:rsidRPr="00907794">
        <w:rPr>
          <w:color w:val="000000"/>
          <w:sz w:val="24"/>
        </w:rPr>
        <w:t>onference</w:t>
      </w:r>
      <w:r w:rsidRPr="00907794">
        <w:rPr>
          <w:color w:val="000000"/>
          <w:sz w:val="24"/>
        </w:rPr>
        <w:t xml:space="preserve"> themes</w:t>
      </w:r>
    </w:p>
    <w:p w14:paraId="6A8F48BF" w14:textId="77777777" w:rsidR="00E91BF4" w:rsidRPr="00907794" w:rsidRDefault="00E91BF4" w:rsidP="00E91BF4">
      <w:pPr>
        <w:spacing w:after="0" w:line="240" w:lineRule="auto"/>
        <w:rPr>
          <w:lang w:val="en-US"/>
        </w:rPr>
      </w:pPr>
    </w:p>
    <w:p w14:paraId="272E6232" w14:textId="5607BA7A" w:rsidR="006E46EA" w:rsidRPr="00907794" w:rsidRDefault="006E46EA" w:rsidP="00E91BF4">
      <w:pPr>
        <w:spacing w:after="0" w:line="240" w:lineRule="auto"/>
        <w:jc w:val="both"/>
        <w:rPr>
          <w:rFonts w:cs="Calibri"/>
          <w:bCs/>
          <w:color w:val="000000"/>
          <w:lang w:val="en-US"/>
        </w:rPr>
      </w:pPr>
      <w:r w:rsidRPr="00907794">
        <w:rPr>
          <w:rFonts w:cs="Calibri"/>
          <w:bCs/>
          <w:color w:val="000000"/>
          <w:lang w:val="en-US"/>
        </w:rPr>
        <w:t>Having in mind relevant topics on today’s higher education agenda, the paper authors are expected to make their contribution in one of the conference main themes. The main findings will be put forward in the 2018 Ministerial Conference in Paris and potentially feed in the 2018-2020 BFUG Work Plan, which will culminate with the landmark of tenth year of EHEA.</w:t>
      </w:r>
    </w:p>
    <w:p w14:paraId="0189C938" w14:textId="77777777" w:rsidR="006E46EA" w:rsidRPr="00907794" w:rsidRDefault="006E46EA" w:rsidP="00E91BF4">
      <w:pPr>
        <w:spacing w:after="0" w:line="240" w:lineRule="auto"/>
        <w:jc w:val="both"/>
        <w:rPr>
          <w:rFonts w:cs="Calibri"/>
          <w:bCs/>
          <w:color w:val="000000"/>
          <w:lang w:val="en-US"/>
        </w:rPr>
      </w:pPr>
    </w:p>
    <w:p w14:paraId="15E6A4C0" w14:textId="4F6148C8" w:rsidR="00E91BF4" w:rsidRPr="00907794" w:rsidRDefault="00E91BF4" w:rsidP="00E91BF4">
      <w:pPr>
        <w:spacing w:after="0" w:line="240" w:lineRule="auto"/>
        <w:jc w:val="both"/>
        <w:rPr>
          <w:rFonts w:cs="Calibri"/>
          <w:bCs/>
          <w:color w:val="000000"/>
          <w:lang w:val="en-US"/>
        </w:rPr>
      </w:pPr>
      <w:r w:rsidRPr="00907794">
        <w:rPr>
          <w:rFonts w:cs="Calibri"/>
          <w:bCs/>
          <w:color w:val="000000"/>
          <w:lang w:val="en-US"/>
        </w:rPr>
        <w:t xml:space="preserve">Experts and policy makers are invited to explore the convergence and interaction of specific issues within research papers presented during the conference. Upon selection by the </w:t>
      </w:r>
      <w:r w:rsidR="00F0215C" w:rsidRPr="00907794">
        <w:rPr>
          <w:rFonts w:cs="Calibri"/>
          <w:bCs/>
          <w:color w:val="000000"/>
          <w:lang w:val="en-US"/>
        </w:rPr>
        <w:t>E</w:t>
      </w:r>
      <w:r w:rsidRPr="00907794">
        <w:rPr>
          <w:rFonts w:cs="Calibri"/>
          <w:bCs/>
          <w:color w:val="000000"/>
          <w:lang w:val="en-US"/>
        </w:rPr>
        <w:t xml:space="preserve">ditorial </w:t>
      </w:r>
      <w:r w:rsidR="00F0215C" w:rsidRPr="00907794">
        <w:rPr>
          <w:rFonts w:cs="Calibri"/>
          <w:bCs/>
          <w:color w:val="000000"/>
          <w:lang w:val="en-US"/>
        </w:rPr>
        <w:t>B</w:t>
      </w:r>
      <w:r w:rsidRPr="00907794">
        <w:rPr>
          <w:rFonts w:cs="Calibri"/>
          <w:bCs/>
          <w:color w:val="000000"/>
          <w:lang w:val="en-US"/>
        </w:rPr>
        <w:t xml:space="preserve">oard based on the abstracts presented, the submitted papers will become part of a volume of proceedings, edited by </w:t>
      </w:r>
      <w:r w:rsidR="00BD25E6" w:rsidRPr="00907794">
        <w:rPr>
          <w:rFonts w:cs="Calibri"/>
          <w:bCs/>
          <w:color w:val="000000"/>
          <w:lang w:val="en-US"/>
        </w:rPr>
        <w:t>an international publisher</w:t>
      </w:r>
      <w:r w:rsidRPr="00907794">
        <w:rPr>
          <w:rFonts w:cs="Calibri"/>
          <w:bCs/>
          <w:color w:val="000000"/>
          <w:lang w:val="en-US"/>
        </w:rPr>
        <w:t xml:space="preserve">. All the papers should fit under one (or more) of the sub-themes suggested by the organizers. Each of them is allocated </w:t>
      </w:r>
      <w:r w:rsidR="00F0215C" w:rsidRPr="00907794">
        <w:rPr>
          <w:rFonts w:cs="Calibri"/>
          <w:bCs/>
          <w:color w:val="000000"/>
          <w:lang w:val="en-US"/>
        </w:rPr>
        <w:t xml:space="preserve">to </w:t>
      </w:r>
      <w:r w:rsidRPr="00907794">
        <w:rPr>
          <w:rFonts w:cs="Calibri"/>
          <w:bCs/>
          <w:color w:val="000000"/>
          <w:lang w:val="en-US"/>
        </w:rPr>
        <w:t>members of the Editorial Board as thematic coordinators and is briefly described in the following paragraphs.</w:t>
      </w:r>
    </w:p>
    <w:p w14:paraId="4C4B19AA" w14:textId="77777777" w:rsidR="00E91BF4" w:rsidRPr="00907794" w:rsidRDefault="00E91BF4" w:rsidP="00E91BF4">
      <w:pPr>
        <w:spacing w:after="0" w:line="240" w:lineRule="auto"/>
        <w:rPr>
          <w:lang w:val="en-US"/>
        </w:rPr>
      </w:pPr>
    </w:p>
    <w:p w14:paraId="78246645" w14:textId="06C505C0" w:rsidR="00FF51D7" w:rsidRPr="00907794" w:rsidRDefault="00E91BF4" w:rsidP="00E91BF4">
      <w:pPr>
        <w:spacing w:after="0" w:line="240" w:lineRule="auto"/>
        <w:rPr>
          <w:lang w:val="en-US"/>
        </w:rPr>
      </w:pPr>
      <w:r w:rsidRPr="00907794">
        <w:rPr>
          <w:lang w:val="en-US"/>
        </w:rPr>
        <w:t xml:space="preserve">The </w:t>
      </w:r>
      <w:r w:rsidR="004700BF" w:rsidRPr="00907794">
        <w:rPr>
          <w:lang w:val="en-US"/>
        </w:rPr>
        <w:t>five</w:t>
      </w:r>
      <w:r w:rsidR="007874BE" w:rsidRPr="00907794">
        <w:rPr>
          <w:lang w:val="en-US"/>
        </w:rPr>
        <w:t xml:space="preserve"> main themes suggested for the conference</w:t>
      </w:r>
      <w:r w:rsidRPr="00907794">
        <w:rPr>
          <w:lang w:val="en-US"/>
        </w:rPr>
        <w:t xml:space="preserve"> are</w:t>
      </w:r>
      <w:r w:rsidR="007874BE" w:rsidRPr="00907794">
        <w:rPr>
          <w:lang w:val="en-US"/>
        </w:rPr>
        <w:t>:</w:t>
      </w:r>
    </w:p>
    <w:p w14:paraId="40ABE66D" w14:textId="77777777" w:rsidR="00AC02E1" w:rsidRPr="00C940B4" w:rsidRDefault="00AC02E1" w:rsidP="00AC02E1">
      <w:pPr>
        <w:pStyle w:val="ListParagraph"/>
        <w:numPr>
          <w:ilvl w:val="0"/>
          <w:numId w:val="3"/>
        </w:numPr>
        <w:ind w:right="-257"/>
        <w:rPr>
          <w:rFonts w:cs="Calibri"/>
          <w:bCs/>
          <w:lang w:val="en-US"/>
        </w:rPr>
      </w:pPr>
      <w:r w:rsidRPr="00C940B4">
        <w:rPr>
          <w:rFonts w:cs="Calibri"/>
          <w:bCs/>
          <w:lang w:val="en-US"/>
        </w:rPr>
        <w:t xml:space="preserve">Bologna Process and the wider world of Higher Education </w:t>
      </w:r>
    </w:p>
    <w:p w14:paraId="1C7AF82D" w14:textId="03D0D36C" w:rsidR="007874BE" w:rsidRPr="00907794" w:rsidRDefault="007874BE" w:rsidP="00E91BF4">
      <w:pPr>
        <w:numPr>
          <w:ilvl w:val="0"/>
          <w:numId w:val="3"/>
        </w:numPr>
        <w:spacing w:after="0" w:line="240" w:lineRule="auto"/>
        <w:rPr>
          <w:lang w:val="en-US"/>
        </w:rPr>
      </w:pPr>
      <w:r w:rsidRPr="00907794">
        <w:rPr>
          <w:lang w:val="en-US"/>
        </w:rPr>
        <w:t>Social dimension</w:t>
      </w:r>
      <w:r w:rsidR="00BA56D3">
        <w:rPr>
          <w:lang w:val="en-US"/>
        </w:rPr>
        <w:t xml:space="preserve"> within a quality oriented HE system</w:t>
      </w:r>
    </w:p>
    <w:p w14:paraId="2AB163CF" w14:textId="3415D2CC" w:rsidR="004700BF" w:rsidRPr="00907794" w:rsidRDefault="00583FCD" w:rsidP="00E91BF4">
      <w:pPr>
        <w:numPr>
          <w:ilvl w:val="0"/>
          <w:numId w:val="3"/>
        </w:numPr>
        <w:spacing w:after="0" w:line="240" w:lineRule="auto"/>
        <w:rPr>
          <w:lang w:val="en-US"/>
        </w:rPr>
      </w:pPr>
      <w:r>
        <w:rPr>
          <w:lang w:val="en-US"/>
        </w:rPr>
        <w:t>Twenty</w:t>
      </w:r>
      <w:r w:rsidR="00781885">
        <w:rPr>
          <w:lang w:val="en-US"/>
        </w:rPr>
        <w:t xml:space="preserve"> years of Bologna and a </w:t>
      </w:r>
      <w:r w:rsidR="004700BF" w:rsidRPr="00907794">
        <w:rPr>
          <w:lang w:val="en-US"/>
        </w:rPr>
        <w:t>decade of EHEA: what’s next?</w:t>
      </w:r>
    </w:p>
    <w:p w14:paraId="03C95CC2" w14:textId="03ADC008" w:rsidR="007874BE" w:rsidRPr="00907794" w:rsidRDefault="004700BF" w:rsidP="00E91BF4">
      <w:pPr>
        <w:numPr>
          <w:ilvl w:val="0"/>
          <w:numId w:val="3"/>
        </w:numPr>
        <w:spacing w:after="0" w:line="240" w:lineRule="auto"/>
        <w:rPr>
          <w:lang w:val="en-US"/>
        </w:rPr>
      </w:pPr>
      <w:r w:rsidRPr="00907794">
        <w:rPr>
          <w:lang w:val="en-US"/>
        </w:rPr>
        <w:t>Transparency Tools</w:t>
      </w:r>
      <w:r w:rsidR="00BA56D3">
        <w:rPr>
          <w:lang w:val="en-US"/>
        </w:rPr>
        <w:t xml:space="preserve"> – impact and future developments</w:t>
      </w:r>
    </w:p>
    <w:p w14:paraId="11B6D29B" w14:textId="6AA70DCC" w:rsidR="004700BF" w:rsidRDefault="004700BF" w:rsidP="00E91BF4">
      <w:pPr>
        <w:numPr>
          <w:ilvl w:val="0"/>
          <w:numId w:val="3"/>
        </w:numPr>
        <w:spacing w:after="0" w:line="240" w:lineRule="auto"/>
        <w:rPr>
          <w:lang w:val="en-US"/>
        </w:rPr>
      </w:pPr>
      <w:r w:rsidRPr="00907794">
        <w:rPr>
          <w:lang w:val="en-US"/>
        </w:rPr>
        <w:t>Financing and Governance</w:t>
      </w:r>
    </w:p>
    <w:p w14:paraId="48011508" w14:textId="77777777" w:rsidR="004700BF" w:rsidRPr="00907794" w:rsidRDefault="004700BF" w:rsidP="004700BF">
      <w:pPr>
        <w:spacing w:after="0" w:line="240" w:lineRule="auto"/>
        <w:ind w:left="720"/>
        <w:rPr>
          <w:lang w:val="en-US"/>
        </w:rPr>
      </w:pPr>
    </w:p>
    <w:p w14:paraId="5EF821C4" w14:textId="77777777" w:rsidR="00D93D18" w:rsidRPr="00907794" w:rsidRDefault="00D93D18" w:rsidP="00D93D18">
      <w:pPr>
        <w:spacing w:after="0" w:line="240" w:lineRule="auto"/>
        <w:rPr>
          <w:lang w:val="en-US"/>
        </w:rPr>
      </w:pPr>
    </w:p>
    <w:p w14:paraId="0CFBEAE3" w14:textId="77777777" w:rsidR="00583FCD" w:rsidRDefault="00583FCD" w:rsidP="00D93D18">
      <w:pPr>
        <w:spacing w:after="0" w:line="240" w:lineRule="auto"/>
        <w:jc w:val="both"/>
        <w:rPr>
          <w:b/>
          <w:sz w:val="28"/>
          <w:lang w:val="en-US"/>
        </w:rPr>
      </w:pPr>
    </w:p>
    <w:p w14:paraId="376EBC90" w14:textId="77777777" w:rsidR="00583FCD" w:rsidRDefault="00583FCD" w:rsidP="00D93D18">
      <w:pPr>
        <w:spacing w:after="0" w:line="240" w:lineRule="auto"/>
        <w:jc w:val="both"/>
        <w:rPr>
          <w:b/>
          <w:sz w:val="28"/>
          <w:lang w:val="en-US"/>
        </w:rPr>
      </w:pPr>
    </w:p>
    <w:p w14:paraId="2E44BFB3" w14:textId="77777777" w:rsidR="00583FCD" w:rsidRDefault="00583FCD" w:rsidP="00D93D18">
      <w:pPr>
        <w:spacing w:after="0" w:line="240" w:lineRule="auto"/>
        <w:jc w:val="both"/>
        <w:rPr>
          <w:b/>
          <w:sz w:val="28"/>
          <w:lang w:val="en-US"/>
        </w:rPr>
      </w:pPr>
    </w:p>
    <w:p w14:paraId="1E7AF246" w14:textId="77777777" w:rsidR="00583FCD" w:rsidRDefault="00583FCD" w:rsidP="00D93D18">
      <w:pPr>
        <w:spacing w:after="0" w:line="240" w:lineRule="auto"/>
        <w:jc w:val="both"/>
        <w:rPr>
          <w:b/>
          <w:sz w:val="28"/>
          <w:lang w:val="en-US"/>
        </w:rPr>
      </w:pPr>
    </w:p>
    <w:p w14:paraId="6DAD1C67" w14:textId="77777777" w:rsidR="00583FCD" w:rsidRDefault="00583FCD" w:rsidP="00D93D18">
      <w:pPr>
        <w:spacing w:after="0" w:line="240" w:lineRule="auto"/>
        <w:jc w:val="both"/>
        <w:rPr>
          <w:b/>
          <w:sz w:val="28"/>
          <w:lang w:val="en-US"/>
        </w:rPr>
      </w:pPr>
    </w:p>
    <w:p w14:paraId="78343AFD" w14:textId="77777777" w:rsidR="00583FCD" w:rsidRDefault="00583FCD" w:rsidP="00D93D18">
      <w:pPr>
        <w:spacing w:after="0" w:line="240" w:lineRule="auto"/>
        <w:jc w:val="both"/>
        <w:rPr>
          <w:b/>
          <w:sz w:val="28"/>
          <w:lang w:val="en-US"/>
        </w:rPr>
      </w:pPr>
    </w:p>
    <w:p w14:paraId="06C805EF" w14:textId="77777777" w:rsidR="00583FCD" w:rsidRDefault="00583FCD" w:rsidP="00D93D18">
      <w:pPr>
        <w:spacing w:after="0" w:line="240" w:lineRule="auto"/>
        <w:jc w:val="both"/>
        <w:rPr>
          <w:b/>
          <w:sz w:val="28"/>
          <w:lang w:val="en-US"/>
        </w:rPr>
      </w:pPr>
    </w:p>
    <w:p w14:paraId="70344B3F" w14:textId="1F129CC7" w:rsidR="00D93D18" w:rsidRPr="00C940B4" w:rsidRDefault="00D93D18" w:rsidP="00FC6820">
      <w:pPr>
        <w:pStyle w:val="Heading2"/>
        <w:rPr>
          <w:b w:val="0"/>
          <w:color w:val="auto"/>
          <w:sz w:val="28"/>
        </w:rPr>
      </w:pPr>
      <w:r w:rsidRPr="00C940B4">
        <w:rPr>
          <w:color w:val="auto"/>
          <w:sz w:val="28"/>
        </w:rPr>
        <w:lastRenderedPageBreak/>
        <w:t xml:space="preserve">1. </w:t>
      </w:r>
      <w:r w:rsidR="009A21DC" w:rsidRPr="00C940B4">
        <w:rPr>
          <w:color w:val="auto"/>
          <w:sz w:val="28"/>
        </w:rPr>
        <w:t xml:space="preserve">Bologna Process and the wider world of Higher Education </w:t>
      </w:r>
    </w:p>
    <w:p w14:paraId="21379112" w14:textId="77777777" w:rsidR="00D93D18" w:rsidRPr="00907794" w:rsidRDefault="00D93D18" w:rsidP="00D93D18">
      <w:pPr>
        <w:spacing w:after="0" w:line="240" w:lineRule="auto"/>
        <w:jc w:val="both"/>
        <w:rPr>
          <w:lang w:val="en-US"/>
        </w:rPr>
      </w:pPr>
    </w:p>
    <w:p w14:paraId="4F9B0D61" w14:textId="2247D786" w:rsidR="00902FE9" w:rsidRPr="00907794" w:rsidRDefault="00902FE9" w:rsidP="00D93D18">
      <w:pPr>
        <w:spacing w:after="0" w:line="240" w:lineRule="auto"/>
        <w:jc w:val="both"/>
        <w:rPr>
          <w:lang w:val="en-US"/>
        </w:rPr>
      </w:pPr>
      <w:r w:rsidRPr="00907794">
        <w:rPr>
          <w:lang w:val="en-US"/>
        </w:rPr>
        <w:t xml:space="preserve">Internationalization has always been at the core of the Bologna Process. In the recent years, more emphasis was put on this dimension, with the Ministers adopting the </w:t>
      </w:r>
      <w:r w:rsidRPr="00907794">
        <w:rPr>
          <w:i/>
          <w:lang w:val="en-US"/>
        </w:rPr>
        <w:t>Mobility for better learning”</w:t>
      </w:r>
      <w:r w:rsidRPr="00907794">
        <w:rPr>
          <w:rStyle w:val="FootnoteReference"/>
          <w:i/>
          <w:lang w:val="en-US"/>
        </w:rPr>
        <w:footnoteReference w:id="2"/>
      </w:r>
      <w:r w:rsidRPr="00907794">
        <w:rPr>
          <w:i/>
          <w:lang w:val="en-US"/>
        </w:rPr>
        <w:t xml:space="preserve"> </w:t>
      </w:r>
      <w:r w:rsidRPr="00907794">
        <w:rPr>
          <w:lang w:val="en-US"/>
        </w:rPr>
        <w:t xml:space="preserve">Strategy as annex to the Bucharest Ministerial Communique (2012) and the inclusion of staff mobility again amongst the commitments undertaken with the 2015 Yerevan Communique. </w:t>
      </w:r>
    </w:p>
    <w:p w14:paraId="444C0C4D" w14:textId="77777777" w:rsidR="0037261A" w:rsidRPr="00907794" w:rsidRDefault="0037261A" w:rsidP="00D93D18">
      <w:pPr>
        <w:spacing w:after="0" w:line="240" w:lineRule="auto"/>
        <w:jc w:val="both"/>
        <w:rPr>
          <w:lang w:val="en-US"/>
        </w:rPr>
      </w:pPr>
    </w:p>
    <w:p w14:paraId="0BD1F9D1" w14:textId="12DF2F10" w:rsidR="0037261A" w:rsidRPr="00907794" w:rsidRDefault="0037261A" w:rsidP="0037261A">
      <w:pPr>
        <w:spacing w:after="0" w:line="240" w:lineRule="auto"/>
        <w:jc w:val="both"/>
        <w:rPr>
          <w:lang w:val="en-US"/>
        </w:rPr>
      </w:pPr>
      <w:r w:rsidRPr="00907794">
        <w:rPr>
          <w:lang w:val="en-US"/>
        </w:rPr>
        <w:t>Additionally,</w:t>
      </w:r>
      <w:r w:rsidR="00DC0CED" w:rsidRPr="00907794">
        <w:rPr>
          <w:lang w:val="en-US"/>
        </w:rPr>
        <w:t xml:space="preserve"> internationalization is one of the five priorities highlighted in the EC </w:t>
      </w:r>
      <w:r w:rsidRPr="00907794">
        <w:rPr>
          <w:lang w:val="en-US"/>
        </w:rPr>
        <w:t>Modernization Agenda, clearly stating the need for all stakeholders to work together in “promoting mobility of students and staff and cross-border cooperation”. Tools such as the Erasmus+ Programme have taken a greater role in supporting mobility, one of key internationalization components, thus contributing to the 20/20 target set by in Leuven Communique.</w:t>
      </w:r>
    </w:p>
    <w:p w14:paraId="26C965B7" w14:textId="77777777" w:rsidR="0037261A" w:rsidRPr="00907794" w:rsidRDefault="0037261A" w:rsidP="0037261A">
      <w:pPr>
        <w:spacing w:after="0" w:line="240" w:lineRule="auto"/>
        <w:jc w:val="both"/>
        <w:rPr>
          <w:lang w:val="en-US"/>
        </w:rPr>
      </w:pPr>
    </w:p>
    <w:p w14:paraId="171D2373" w14:textId="4444BEA4" w:rsidR="0037261A" w:rsidRPr="00907794" w:rsidRDefault="0037261A" w:rsidP="0037261A">
      <w:pPr>
        <w:spacing w:after="0" w:line="240" w:lineRule="auto"/>
        <w:jc w:val="both"/>
        <w:rPr>
          <w:lang w:val="en-US"/>
        </w:rPr>
      </w:pPr>
      <w:r w:rsidRPr="00907794">
        <w:rPr>
          <w:lang w:val="en-US"/>
        </w:rPr>
        <w:t>Furthermore, as a 2015 EU Parliament study</w:t>
      </w:r>
      <w:r w:rsidRPr="00907794">
        <w:rPr>
          <w:rStyle w:val="FootnoteReference"/>
          <w:lang w:val="en-US"/>
        </w:rPr>
        <w:footnoteReference w:id="3"/>
      </w:r>
      <w:r w:rsidRPr="00907794">
        <w:rPr>
          <w:lang w:val="en-US"/>
        </w:rPr>
        <w:t xml:space="preserve"> on Internationalization of Higher Education shows, nowadays institutions and policy makers must also address the latest challenges occurring, such as </w:t>
      </w:r>
      <w:r w:rsidR="00D7639E">
        <w:rPr>
          <w:lang w:val="en-US"/>
        </w:rPr>
        <w:t>digital and blended learning,</w:t>
      </w:r>
      <w:r w:rsidRPr="00907794">
        <w:rPr>
          <w:lang w:val="en-US"/>
        </w:rPr>
        <w:t xml:space="preserve"> demographic</w:t>
      </w:r>
      <w:r w:rsidR="00E966B8" w:rsidRPr="00907794">
        <w:rPr>
          <w:lang w:val="en-US"/>
        </w:rPr>
        <w:t xml:space="preserve"> changes</w:t>
      </w:r>
      <w:r w:rsidRPr="00907794">
        <w:rPr>
          <w:lang w:val="en-US"/>
        </w:rPr>
        <w:t xml:space="preserve"> in the student population, immigration, </w:t>
      </w:r>
      <w:r w:rsidR="002831CE" w:rsidRPr="00907794">
        <w:rPr>
          <w:lang w:val="en-US"/>
        </w:rPr>
        <w:t>financial crisis or ethnic and religious tensions. Brexit is another recent phenomenon that impacts on almost all aspects of internationalization</w:t>
      </w:r>
      <w:r w:rsidR="00BA56D3">
        <w:rPr>
          <w:lang w:val="en-US"/>
        </w:rPr>
        <w:t>, which</w:t>
      </w:r>
      <w:r w:rsidR="002831CE" w:rsidRPr="00907794">
        <w:rPr>
          <w:lang w:val="en-US"/>
        </w:rPr>
        <w:t xml:space="preserve"> involved stakeholders need to take into account.</w:t>
      </w:r>
    </w:p>
    <w:p w14:paraId="22798188" w14:textId="77777777" w:rsidR="00C5699A" w:rsidRPr="00907794" w:rsidRDefault="00C5699A" w:rsidP="00D93D18">
      <w:pPr>
        <w:spacing w:after="0" w:line="240" w:lineRule="auto"/>
        <w:jc w:val="both"/>
        <w:rPr>
          <w:lang w:val="en-US"/>
        </w:rPr>
      </w:pPr>
    </w:p>
    <w:p w14:paraId="7B1D8266" w14:textId="1C4C143D" w:rsidR="00D93D18" w:rsidRPr="00907794" w:rsidRDefault="00D93D18" w:rsidP="00D93D18">
      <w:pPr>
        <w:spacing w:after="0" w:line="240" w:lineRule="auto"/>
        <w:jc w:val="both"/>
        <w:rPr>
          <w:lang w:val="en-US"/>
        </w:rPr>
      </w:pPr>
      <w:r w:rsidRPr="00907794">
        <w:rPr>
          <w:lang w:val="en-US"/>
        </w:rPr>
        <w:t xml:space="preserve">Giving the </w:t>
      </w:r>
      <w:r w:rsidR="00BA56D3">
        <w:rPr>
          <w:lang w:val="en-US"/>
        </w:rPr>
        <w:t>rising importance of this topic in the EHEA and beyond</w:t>
      </w:r>
      <w:r w:rsidRPr="00907794">
        <w:rPr>
          <w:lang w:val="en-US"/>
        </w:rPr>
        <w:t xml:space="preserve">, </w:t>
      </w:r>
      <w:r w:rsidR="002831CE" w:rsidRPr="00907794">
        <w:rPr>
          <w:lang w:val="en-US"/>
        </w:rPr>
        <w:t>the interested</w:t>
      </w:r>
      <w:r w:rsidRPr="00907794">
        <w:rPr>
          <w:lang w:val="en-US"/>
        </w:rPr>
        <w:t xml:space="preserve"> researchers </w:t>
      </w:r>
      <w:r w:rsidR="002831CE" w:rsidRPr="00907794">
        <w:rPr>
          <w:lang w:val="en-US"/>
        </w:rPr>
        <w:t xml:space="preserve">should </w:t>
      </w:r>
      <w:r w:rsidRPr="00907794">
        <w:rPr>
          <w:lang w:val="en-US"/>
        </w:rPr>
        <w:t>send us their contributions</w:t>
      </w:r>
      <w:r w:rsidR="00BD25E6" w:rsidRPr="00907794">
        <w:rPr>
          <w:lang w:val="en-US"/>
        </w:rPr>
        <w:t xml:space="preserve"> analyzing good practices, introducing comparative research or new theoretical insights</w:t>
      </w:r>
      <w:r w:rsidR="00BA56D3">
        <w:rPr>
          <w:lang w:val="en-US"/>
        </w:rPr>
        <w:t xml:space="preserve"> on internationalization of higher education</w:t>
      </w:r>
      <w:r w:rsidR="00BD25E6" w:rsidRPr="00907794">
        <w:rPr>
          <w:lang w:val="en-US"/>
        </w:rPr>
        <w:t>,</w:t>
      </w:r>
      <w:r w:rsidRPr="00907794">
        <w:rPr>
          <w:lang w:val="en-US"/>
        </w:rPr>
        <w:t xml:space="preserve"> either for</w:t>
      </w:r>
      <w:r w:rsidR="00BD25E6" w:rsidRPr="00907794">
        <w:rPr>
          <w:lang w:val="en-US"/>
        </w:rPr>
        <w:t xml:space="preserve"> the</w:t>
      </w:r>
      <w:r w:rsidRPr="00907794">
        <w:rPr>
          <w:lang w:val="en-US"/>
        </w:rPr>
        <w:t xml:space="preserve"> institutional level or for national level.</w:t>
      </w:r>
    </w:p>
    <w:p w14:paraId="36206D74" w14:textId="77777777" w:rsidR="00D93D18" w:rsidRDefault="00D93D18" w:rsidP="00D93D18">
      <w:pPr>
        <w:spacing w:after="0" w:line="240" w:lineRule="auto"/>
        <w:jc w:val="both"/>
        <w:rPr>
          <w:b/>
          <w:lang w:val="en-US"/>
        </w:rPr>
      </w:pPr>
    </w:p>
    <w:p w14:paraId="7D3E0126" w14:textId="46ED9806" w:rsidR="00D93D18" w:rsidRPr="00907794" w:rsidRDefault="002F423D" w:rsidP="00FC6820">
      <w:pPr>
        <w:pStyle w:val="Heading2"/>
        <w:rPr>
          <w:b w:val="0"/>
          <w:sz w:val="28"/>
        </w:rPr>
      </w:pPr>
      <w:r w:rsidRPr="00907794">
        <w:rPr>
          <w:sz w:val="28"/>
        </w:rPr>
        <w:t>2</w:t>
      </w:r>
      <w:r w:rsidR="00D93D18" w:rsidRPr="00907794">
        <w:rPr>
          <w:sz w:val="28"/>
        </w:rPr>
        <w:t xml:space="preserve">. </w:t>
      </w:r>
      <w:r w:rsidR="00BA56D3" w:rsidRPr="00E4611B">
        <w:rPr>
          <w:sz w:val="28"/>
        </w:rPr>
        <w:t>Social dimension within a quality oriented HE system</w:t>
      </w:r>
    </w:p>
    <w:p w14:paraId="4EBF0411" w14:textId="77777777" w:rsidR="00D93D18" w:rsidRPr="00907794" w:rsidRDefault="00D93D18" w:rsidP="00D93D18">
      <w:pPr>
        <w:pStyle w:val="MediumGrid1-Accent21"/>
        <w:ind w:left="0"/>
        <w:jc w:val="both"/>
        <w:rPr>
          <w:rFonts w:ascii="Calibri" w:hAnsi="Calibri"/>
          <w:sz w:val="22"/>
          <w:szCs w:val="22"/>
          <w:lang w:val="en-US"/>
        </w:rPr>
      </w:pPr>
    </w:p>
    <w:p w14:paraId="5F1D63E5" w14:textId="0BFFBFC6" w:rsidR="00FC65F9" w:rsidRDefault="00FC65F9" w:rsidP="00D93D18">
      <w:pPr>
        <w:pStyle w:val="MediumGrid1-Accent21"/>
        <w:ind w:left="0"/>
        <w:jc w:val="both"/>
        <w:rPr>
          <w:rFonts w:ascii="Calibri" w:hAnsi="Calibri"/>
          <w:sz w:val="22"/>
          <w:szCs w:val="22"/>
          <w:lang w:val="en-US"/>
        </w:rPr>
      </w:pPr>
      <w:r w:rsidRPr="00907794">
        <w:rPr>
          <w:rFonts w:ascii="Calibri" w:hAnsi="Calibri"/>
          <w:sz w:val="22"/>
          <w:szCs w:val="22"/>
          <w:lang w:val="en-US"/>
        </w:rPr>
        <w:t xml:space="preserve">Providing better access to </w:t>
      </w:r>
      <w:r w:rsidR="00BA56D3">
        <w:rPr>
          <w:rFonts w:ascii="Calibri" w:hAnsi="Calibri"/>
          <w:sz w:val="22"/>
          <w:szCs w:val="22"/>
          <w:lang w:val="en-US"/>
        </w:rPr>
        <w:t xml:space="preserve">quality </w:t>
      </w:r>
      <w:r w:rsidRPr="00907794">
        <w:rPr>
          <w:rFonts w:ascii="Calibri" w:hAnsi="Calibri"/>
          <w:sz w:val="22"/>
          <w:szCs w:val="22"/>
          <w:lang w:val="en-US"/>
        </w:rPr>
        <w:t xml:space="preserve">higher education for a wider participation of under-represented groups of students has been one of the main targets of the Bologna Process ever since its creation. While various initiatives have been undertaken by policy makers in the quest for a more inclusive education, </w:t>
      </w:r>
      <w:r w:rsidR="00114365">
        <w:rPr>
          <w:rFonts w:ascii="Calibri" w:hAnsi="Calibri"/>
          <w:sz w:val="22"/>
          <w:szCs w:val="22"/>
          <w:lang w:val="en-US"/>
        </w:rPr>
        <w:t xml:space="preserve">without affecting the quality of HE provision, </w:t>
      </w:r>
      <w:r w:rsidRPr="00907794">
        <w:rPr>
          <w:rFonts w:ascii="Calibri" w:hAnsi="Calibri"/>
          <w:sz w:val="22"/>
          <w:szCs w:val="22"/>
          <w:lang w:val="en-US"/>
        </w:rPr>
        <w:t>a lot remains to be done in order to decrease inequalities for different socio-economic groups. “Making our systems more inclusive is an essential aim for the EHEA as our populations become more and more diversified, also due to immigration and demographic changes”</w:t>
      </w:r>
      <w:r w:rsidRPr="00907794">
        <w:rPr>
          <w:rFonts w:asciiTheme="minorHAnsi" w:hAnsiTheme="minorHAnsi"/>
          <w:sz w:val="22"/>
          <w:vertAlign w:val="superscript"/>
          <w:lang w:val="en-US"/>
        </w:rPr>
        <w:footnoteReference w:id="4"/>
      </w:r>
      <w:r w:rsidRPr="00907794">
        <w:rPr>
          <w:rFonts w:ascii="Calibri" w:hAnsi="Calibri"/>
          <w:sz w:val="22"/>
          <w:szCs w:val="22"/>
          <w:lang w:val="en-US"/>
        </w:rPr>
        <w:t xml:space="preserve">, states the Yerevan Communique. </w:t>
      </w:r>
      <w:r w:rsidR="00E710E2" w:rsidRPr="00907794">
        <w:rPr>
          <w:rFonts w:ascii="Calibri" w:hAnsi="Calibri"/>
          <w:sz w:val="22"/>
          <w:szCs w:val="22"/>
          <w:lang w:val="en-US"/>
        </w:rPr>
        <w:t>Furthermore, t</w:t>
      </w:r>
      <w:r w:rsidRPr="00907794">
        <w:rPr>
          <w:rFonts w:ascii="Calibri" w:hAnsi="Calibri"/>
          <w:sz w:val="22"/>
          <w:szCs w:val="22"/>
          <w:lang w:val="en-US"/>
        </w:rPr>
        <w:t xml:space="preserve">he Strategy </w:t>
      </w:r>
      <w:r w:rsidR="00E710E2" w:rsidRPr="00907794">
        <w:rPr>
          <w:rFonts w:ascii="Calibri" w:hAnsi="Calibri"/>
          <w:sz w:val="22"/>
          <w:szCs w:val="22"/>
          <w:lang w:val="en-US"/>
        </w:rPr>
        <w:t>for the Development of the Social Dimension and Lifelong Learning in the European Higher Education Area to 2020</w:t>
      </w:r>
      <w:r w:rsidR="00E710E2" w:rsidRPr="00907794">
        <w:rPr>
          <w:rStyle w:val="FootnoteReference"/>
          <w:rFonts w:ascii="Calibri" w:hAnsi="Calibri"/>
          <w:sz w:val="22"/>
          <w:szCs w:val="22"/>
          <w:lang w:val="en-US"/>
        </w:rPr>
        <w:footnoteReference w:id="5"/>
      </w:r>
      <w:r w:rsidR="00E710E2" w:rsidRPr="00907794">
        <w:rPr>
          <w:rFonts w:ascii="Calibri" w:hAnsi="Calibri"/>
          <w:sz w:val="22"/>
          <w:szCs w:val="22"/>
          <w:lang w:val="en-US"/>
        </w:rPr>
        <w:t xml:space="preserve"> sets overall objectives, as well as national policies and guidelines to assist countries in developing such national plans or strategies.</w:t>
      </w:r>
    </w:p>
    <w:p w14:paraId="10444B48" w14:textId="77777777" w:rsidR="00D93D18" w:rsidRPr="00907794" w:rsidRDefault="00D93D18" w:rsidP="00D93D18">
      <w:pPr>
        <w:pStyle w:val="MediumGrid1-Accent21"/>
        <w:ind w:left="0"/>
        <w:jc w:val="both"/>
        <w:rPr>
          <w:rFonts w:ascii="Calibri" w:hAnsi="Calibri"/>
          <w:sz w:val="22"/>
          <w:szCs w:val="22"/>
          <w:lang w:val="en-US"/>
        </w:rPr>
      </w:pPr>
    </w:p>
    <w:p w14:paraId="2708C2EE" w14:textId="76CFBB7A" w:rsidR="00D93D18" w:rsidRPr="00907794" w:rsidRDefault="00AB7A7E" w:rsidP="00D93D18">
      <w:pPr>
        <w:pStyle w:val="MediumGrid1-Accent21"/>
        <w:ind w:left="0"/>
        <w:jc w:val="both"/>
        <w:rPr>
          <w:rFonts w:ascii="Calibri" w:hAnsi="Calibri"/>
          <w:sz w:val="22"/>
          <w:szCs w:val="22"/>
          <w:lang w:val="en-US"/>
        </w:rPr>
      </w:pPr>
      <w:r w:rsidRPr="00907794">
        <w:rPr>
          <w:rFonts w:ascii="Calibri" w:hAnsi="Calibri"/>
          <w:sz w:val="22"/>
          <w:szCs w:val="22"/>
          <w:lang w:val="en-US"/>
        </w:rPr>
        <w:t xml:space="preserve">The research papers </w:t>
      </w:r>
      <w:r w:rsidR="00E710E2" w:rsidRPr="00907794">
        <w:rPr>
          <w:rFonts w:ascii="Calibri" w:hAnsi="Calibri"/>
          <w:sz w:val="22"/>
          <w:szCs w:val="22"/>
          <w:lang w:val="en-US"/>
        </w:rPr>
        <w:t xml:space="preserve">selected in this section </w:t>
      </w:r>
      <w:r w:rsidRPr="00907794">
        <w:rPr>
          <w:rFonts w:ascii="Calibri" w:hAnsi="Calibri"/>
          <w:sz w:val="22"/>
          <w:szCs w:val="22"/>
          <w:lang w:val="en-US"/>
        </w:rPr>
        <w:t>could</w:t>
      </w:r>
      <w:r w:rsidR="00D93D18" w:rsidRPr="00907794">
        <w:rPr>
          <w:rFonts w:ascii="Calibri" w:hAnsi="Calibri"/>
          <w:sz w:val="22"/>
          <w:szCs w:val="22"/>
          <w:lang w:val="en-US"/>
        </w:rPr>
        <w:t>, therefore, focus on:</w:t>
      </w:r>
    </w:p>
    <w:p w14:paraId="6B4CA338" w14:textId="06030D79" w:rsidR="00E710E2" w:rsidRPr="00907794" w:rsidRDefault="00E710E2" w:rsidP="00E710E2">
      <w:pPr>
        <w:pStyle w:val="MediumGrid1-Accent21"/>
        <w:numPr>
          <w:ilvl w:val="0"/>
          <w:numId w:val="4"/>
        </w:numPr>
        <w:jc w:val="both"/>
        <w:rPr>
          <w:rFonts w:ascii="Calibri" w:hAnsi="Calibri"/>
          <w:sz w:val="22"/>
          <w:szCs w:val="22"/>
          <w:lang w:val="en-US"/>
        </w:rPr>
      </w:pPr>
      <w:r w:rsidRPr="00907794">
        <w:rPr>
          <w:rFonts w:ascii="Calibri" w:hAnsi="Calibri"/>
          <w:sz w:val="22"/>
          <w:szCs w:val="22"/>
          <w:lang w:val="en-US"/>
        </w:rPr>
        <w:t>national strategies, plans and targets in the field of social dimension, including flexible learning paths, alternative access routes and recognition of prior learning;</w:t>
      </w:r>
    </w:p>
    <w:p w14:paraId="162AD9AA" w14:textId="77777777" w:rsidR="00D93D18" w:rsidRPr="00907794" w:rsidRDefault="00D93D18" w:rsidP="00D93D18">
      <w:pPr>
        <w:pStyle w:val="MediumGrid1-Accent21"/>
        <w:numPr>
          <w:ilvl w:val="0"/>
          <w:numId w:val="4"/>
        </w:numPr>
        <w:jc w:val="both"/>
        <w:rPr>
          <w:rFonts w:ascii="Calibri" w:hAnsi="Calibri"/>
          <w:sz w:val="22"/>
          <w:szCs w:val="22"/>
          <w:lang w:val="en-US"/>
        </w:rPr>
      </w:pPr>
      <w:r w:rsidRPr="00907794">
        <w:rPr>
          <w:rFonts w:ascii="Calibri" w:hAnsi="Calibri"/>
          <w:sz w:val="22"/>
          <w:szCs w:val="22"/>
          <w:lang w:val="en-US"/>
        </w:rPr>
        <w:t>widening access t</w:t>
      </w:r>
      <w:r w:rsidR="00AB7A7E" w:rsidRPr="00907794">
        <w:rPr>
          <w:rFonts w:ascii="Calibri" w:hAnsi="Calibri"/>
          <w:sz w:val="22"/>
          <w:szCs w:val="22"/>
          <w:lang w:val="en-US"/>
        </w:rPr>
        <w:t>o higher education and increasing</w:t>
      </w:r>
      <w:r w:rsidRPr="00907794">
        <w:rPr>
          <w:rFonts w:ascii="Calibri" w:hAnsi="Calibri"/>
          <w:sz w:val="22"/>
          <w:szCs w:val="22"/>
          <w:lang w:val="en-US"/>
        </w:rPr>
        <w:t xml:space="preserve"> graduation rates; </w:t>
      </w:r>
    </w:p>
    <w:p w14:paraId="04ED00E4" w14:textId="77777777" w:rsidR="00D93D18" w:rsidRPr="00907794" w:rsidRDefault="00D93D18" w:rsidP="00D93D18">
      <w:pPr>
        <w:pStyle w:val="MediumGrid1-Accent21"/>
        <w:numPr>
          <w:ilvl w:val="0"/>
          <w:numId w:val="4"/>
        </w:numPr>
        <w:jc w:val="both"/>
        <w:rPr>
          <w:rFonts w:ascii="Calibri" w:hAnsi="Calibri"/>
          <w:sz w:val="22"/>
          <w:szCs w:val="22"/>
          <w:lang w:val="en-US"/>
        </w:rPr>
      </w:pPr>
      <w:r w:rsidRPr="00907794">
        <w:rPr>
          <w:rFonts w:ascii="Calibri" w:hAnsi="Calibri"/>
          <w:sz w:val="22"/>
          <w:szCs w:val="22"/>
          <w:lang w:val="en-US"/>
        </w:rPr>
        <w:t>access, participation and success of under-represented groups in higher education;</w:t>
      </w:r>
    </w:p>
    <w:p w14:paraId="41C21D7E" w14:textId="77777777" w:rsidR="00114365" w:rsidRDefault="00E710E2" w:rsidP="00D93D18">
      <w:pPr>
        <w:pStyle w:val="MediumGrid1-Accent21"/>
        <w:numPr>
          <w:ilvl w:val="0"/>
          <w:numId w:val="4"/>
        </w:numPr>
        <w:jc w:val="both"/>
        <w:rPr>
          <w:rFonts w:ascii="Calibri" w:hAnsi="Calibri"/>
          <w:sz w:val="22"/>
          <w:szCs w:val="22"/>
          <w:lang w:val="en-US"/>
        </w:rPr>
      </w:pPr>
      <w:r w:rsidRPr="00907794">
        <w:rPr>
          <w:rFonts w:ascii="Calibri" w:hAnsi="Calibri"/>
          <w:sz w:val="22"/>
          <w:szCs w:val="22"/>
          <w:lang w:val="en-US"/>
        </w:rPr>
        <w:t>providing relevant information, advice and guidance (IAG) services, with an emphasis on under-represented groups</w:t>
      </w:r>
      <w:r w:rsidR="00114365">
        <w:rPr>
          <w:rFonts w:ascii="Calibri" w:hAnsi="Calibri"/>
          <w:sz w:val="22"/>
          <w:szCs w:val="22"/>
          <w:lang w:val="en-US"/>
        </w:rPr>
        <w:t>;</w:t>
      </w:r>
    </w:p>
    <w:p w14:paraId="5024F47B" w14:textId="0B980F4D" w:rsidR="00E710E2" w:rsidRDefault="00114365" w:rsidP="00D93D18">
      <w:pPr>
        <w:pStyle w:val="MediumGrid1-Accent21"/>
        <w:numPr>
          <w:ilvl w:val="0"/>
          <w:numId w:val="4"/>
        </w:numPr>
        <w:jc w:val="both"/>
        <w:rPr>
          <w:rFonts w:ascii="Calibri" w:hAnsi="Calibri"/>
          <w:sz w:val="22"/>
          <w:szCs w:val="22"/>
          <w:lang w:val="en-US"/>
        </w:rPr>
      </w:pPr>
      <w:r>
        <w:rPr>
          <w:rFonts w:ascii="Calibri" w:hAnsi="Calibri"/>
          <w:sz w:val="22"/>
          <w:szCs w:val="22"/>
          <w:lang w:val="en-US"/>
        </w:rPr>
        <w:t xml:space="preserve">safeguarding </w:t>
      </w:r>
      <w:r w:rsidR="00022D83">
        <w:rPr>
          <w:rFonts w:ascii="Calibri" w:hAnsi="Calibri"/>
          <w:sz w:val="22"/>
          <w:szCs w:val="22"/>
          <w:lang w:val="en-US"/>
        </w:rPr>
        <w:t xml:space="preserve">the </w:t>
      </w:r>
      <w:r>
        <w:rPr>
          <w:rFonts w:ascii="Calibri" w:hAnsi="Calibri"/>
          <w:sz w:val="22"/>
          <w:szCs w:val="22"/>
          <w:lang w:val="en-US"/>
        </w:rPr>
        <w:t>quality of HE systems, while increasing their level of equity</w:t>
      </w:r>
      <w:r w:rsidR="00D7639E">
        <w:rPr>
          <w:rFonts w:ascii="Calibri" w:hAnsi="Calibri"/>
          <w:sz w:val="22"/>
          <w:szCs w:val="22"/>
          <w:lang w:val="en-US"/>
        </w:rPr>
        <w:t>;</w:t>
      </w:r>
    </w:p>
    <w:p w14:paraId="081B955C" w14:textId="6FD2315A" w:rsidR="00781885" w:rsidRPr="00907794" w:rsidRDefault="00D7639E" w:rsidP="00D93D18">
      <w:pPr>
        <w:pStyle w:val="MediumGrid1-Accent21"/>
        <w:numPr>
          <w:ilvl w:val="0"/>
          <w:numId w:val="4"/>
        </w:numPr>
        <w:jc w:val="both"/>
        <w:rPr>
          <w:rFonts w:ascii="Calibri" w:hAnsi="Calibri"/>
          <w:sz w:val="22"/>
          <w:szCs w:val="22"/>
          <w:lang w:val="en-US"/>
        </w:rPr>
      </w:pPr>
      <w:r>
        <w:rPr>
          <w:rFonts w:ascii="Calibri" w:hAnsi="Calibri"/>
          <w:sz w:val="22"/>
          <w:szCs w:val="22"/>
          <w:lang w:val="en-US"/>
        </w:rPr>
        <w:lastRenderedPageBreak/>
        <w:t xml:space="preserve">the link between </w:t>
      </w:r>
      <w:r w:rsidR="00022D83">
        <w:rPr>
          <w:rFonts w:ascii="Calibri" w:hAnsi="Calibri"/>
          <w:sz w:val="22"/>
          <w:szCs w:val="22"/>
          <w:lang w:val="en-US"/>
        </w:rPr>
        <w:t xml:space="preserve">the competences of the </w:t>
      </w:r>
      <w:r w:rsidR="00781885">
        <w:rPr>
          <w:rFonts w:ascii="Calibri" w:hAnsi="Calibri"/>
          <w:sz w:val="22"/>
          <w:szCs w:val="22"/>
          <w:lang w:val="en-US"/>
        </w:rPr>
        <w:t xml:space="preserve">graduates and </w:t>
      </w:r>
      <w:r w:rsidR="00AA20C1">
        <w:rPr>
          <w:rFonts w:ascii="Calibri" w:hAnsi="Calibri"/>
          <w:sz w:val="22"/>
          <w:szCs w:val="22"/>
          <w:lang w:val="en-US"/>
        </w:rPr>
        <w:t>labor</w:t>
      </w:r>
      <w:r w:rsidR="00781885">
        <w:rPr>
          <w:rFonts w:ascii="Calibri" w:hAnsi="Calibri"/>
          <w:sz w:val="22"/>
          <w:szCs w:val="22"/>
          <w:lang w:val="en-US"/>
        </w:rPr>
        <w:t xml:space="preserve"> market</w:t>
      </w:r>
      <w:r>
        <w:rPr>
          <w:rFonts w:ascii="Calibri" w:hAnsi="Calibri"/>
          <w:sz w:val="22"/>
          <w:szCs w:val="22"/>
          <w:lang w:val="en-US"/>
        </w:rPr>
        <w:t xml:space="preserve"> needs.</w:t>
      </w:r>
    </w:p>
    <w:p w14:paraId="2402623D" w14:textId="77777777" w:rsidR="00AB7A7E" w:rsidRPr="00907794" w:rsidRDefault="00AB7A7E" w:rsidP="00D93D18">
      <w:pPr>
        <w:spacing w:after="0" w:line="240" w:lineRule="auto"/>
        <w:jc w:val="both"/>
        <w:rPr>
          <w:lang w:val="en-US"/>
        </w:rPr>
      </w:pPr>
    </w:p>
    <w:p w14:paraId="7820C8E1" w14:textId="77777777" w:rsidR="00C940B4" w:rsidRPr="00C940B4" w:rsidRDefault="00C940B4" w:rsidP="00C940B4">
      <w:pPr>
        <w:spacing w:after="0" w:line="240" w:lineRule="auto"/>
        <w:jc w:val="both"/>
        <w:rPr>
          <w:rFonts w:asciiTheme="minorHAnsi" w:hAnsiTheme="minorHAnsi"/>
          <w:b/>
          <w:i/>
          <w:lang w:val="en-US"/>
        </w:rPr>
      </w:pPr>
      <w:r w:rsidRPr="00C940B4">
        <w:rPr>
          <w:rFonts w:asciiTheme="minorHAnsi" w:hAnsiTheme="minorHAnsi" w:cs="Arial"/>
          <w:b/>
          <w:i/>
          <w:lang w:val="en-US" w:eastAsia="ro-RO"/>
        </w:rPr>
        <w:t>Other topics deemed of interest are</w:t>
      </w:r>
      <w:r w:rsidRPr="00C940B4">
        <w:rPr>
          <w:b/>
          <w:i/>
        </w:rPr>
        <w:t xml:space="preserve"> </w:t>
      </w:r>
      <w:r w:rsidRPr="00C940B4">
        <w:rPr>
          <w:rFonts w:asciiTheme="minorHAnsi" w:hAnsiTheme="minorHAnsi" w:cs="Arial"/>
          <w:b/>
          <w:i/>
          <w:lang w:val="en-US" w:eastAsia="ro-RO"/>
        </w:rPr>
        <w:t>Role of Universities in Sustainable Development Goals (SDGs): the role of universities in developing smart specializations, open science/open innovation and big data analytics.</w:t>
      </w:r>
    </w:p>
    <w:p w14:paraId="138F363F" w14:textId="77777777" w:rsidR="00C940B4" w:rsidRDefault="00C940B4" w:rsidP="00AB7A7E">
      <w:pPr>
        <w:spacing w:after="0" w:line="240" w:lineRule="auto"/>
        <w:jc w:val="both"/>
        <w:rPr>
          <w:lang w:val="en-US"/>
        </w:rPr>
      </w:pPr>
    </w:p>
    <w:p w14:paraId="0A7F7D54" w14:textId="6EE5008B" w:rsidR="00D93D18" w:rsidRPr="00907794" w:rsidRDefault="00D93D18" w:rsidP="00AB7A7E">
      <w:pPr>
        <w:spacing w:after="0" w:line="240" w:lineRule="auto"/>
        <w:jc w:val="both"/>
        <w:rPr>
          <w:b/>
          <w:highlight w:val="yellow"/>
          <w:lang w:val="en-US"/>
        </w:rPr>
      </w:pPr>
      <w:r w:rsidRPr="00907794">
        <w:rPr>
          <w:lang w:val="en-US"/>
        </w:rPr>
        <w:t xml:space="preserve">The authors are invited to </w:t>
      </w:r>
      <w:r w:rsidR="00AB7A7E" w:rsidRPr="00907794">
        <w:rPr>
          <w:lang w:val="en-US"/>
        </w:rPr>
        <w:t xml:space="preserve">submit comparative research on </w:t>
      </w:r>
      <w:r w:rsidRPr="00907794">
        <w:rPr>
          <w:lang w:val="en-US"/>
        </w:rPr>
        <w:t xml:space="preserve">measures implemented by different </w:t>
      </w:r>
      <w:r w:rsidR="00AB7A7E" w:rsidRPr="00907794">
        <w:rPr>
          <w:lang w:val="en-US"/>
        </w:rPr>
        <w:t xml:space="preserve">higher education systems or higher education institutions, offer examples of good </w:t>
      </w:r>
      <w:r w:rsidRPr="00907794">
        <w:rPr>
          <w:lang w:val="en-US"/>
        </w:rPr>
        <w:t>practice and study the impact of different policies</w:t>
      </w:r>
      <w:r w:rsidR="00E710E2" w:rsidRPr="00907794">
        <w:rPr>
          <w:lang w:val="en-US"/>
        </w:rPr>
        <w:t xml:space="preserve"> in the area </w:t>
      </w:r>
      <w:r w:rsidRPr="00907794">
        <w:rPr>
          <w:lang w:val="en-US"/>
        </w:rPr>
        <w:t>of social dimension</w:t>
      </w:r>
      <w:r w:rsidR="00114365">
        <w:rPr>
          <w:lang w:val="en-US"/>
        </w:rPr>
        <w:t xml:space="preserve"> within quality oriented HE systems</w:t>
      </w:r>
      <w:r w:rsidR="00AB7A7E" w:rsidRPr="00907794">
        <w:rPr>
          <w:lang w:val="en-US"/>
        </w:rPr>
        <w:t>.</w:t>
      </w:r>
    </w:p>
    <w:p w14:paraId="57F7B7B6" w14:textId="77777777" w:rsidR="00D93D18" w:rsidRPr="00907794" w:rsidRDefault="00D93D18" w:rsidP="00D93D18">
      <w:pPr>
        <w:spacing w:after="0" w:line="240" w:lineRule="auto"/>
        <w:jc w:val="both"/>
        <w:rPr>
          <w:b/>
          <w:sz w:val="28"/>
          <w:lang w:val="en-US"/>
        </w:rPr>
      </w:pPr>
    </w:p>
    <w:p w14:paraId="6B4BAB6A" w14:textId="3387F8DE" w:rsidR="00D93D18" w:rsidRPr="00907794" w:rsidRDefault="002F423D" w:rsidP="00FC6820">
      <w:pPr>
        <w:pStyle w:val="Heading2"/>
        <w:rPr>
          <w:b w:val="0"/>
          <w:sz w:val="28"/>
        </w:rPr>
      </w:pPr>
      <w:r w:rsidRPr="00907794">
        <w:rPr>
          <w:sz w:val="28"/>
        </w:rPr>
        <w:t>3</w:t>
      </w:r>
      <w:r w:rsidR="00D93D18" w:rsidRPr="00907794">
        <w:rPr>
          <w:sz w:val="28"/>
        </w:rPr>
        <w:t xml:space="preserve">. </w:t>
      </w:r>
      <w:r w:rsidR="00337289" w:rsidRPr="00337289">
        <w:rPr>
          <w:sz w:val="28"/>
        </w:rPr>
        <w:t>Twenty years of Bologna and a decade of EHEA: what’s next?</w:t>
      </w:r>
    </w:p>
    <w:p w14:paraId="50FBE756" w14:textId="77777777" w:rsidR="00D93D18" w:rsidRPr="00907794" w:rsidRDefault="00D93D18" w:rsidP="00D93D18">
      <w:pPr>
        <w:spacing w:after="0" w:line="240" w:lineRule="auto"/>
        <w:jc w:val="both"/>
        <w:rPr>
          <w:b/>
          <w:lang w:val="en-US"/>
        </w:rPr>
      </w:pPr>
    </w:p>
    <w:p w14:paraId="0E0671F3" w14:textId="490FDB9F" w:rsidR="00DF7704" w:rsidRPr="00907794" w:rsidRDefault="00DF7704" w:rsidP="00D93D18">
      <w:pPr>
        <w:spacing w:after="0" w:line="240" w:lineRule="auto"/>
        <w:jc w:val="both"/>
        <w:rPr>
          <w:lang w:val="en-US"/>
        </w:rPr>
      </w:pPr>
      <w:r w:rsidRPr="00907794">
        <w:rPr>
          <w:lang w:val="en-US"/>
        </w:rPr>
        <w:t>While we are getting closer to a decade of European Higher Education Area (EHEA), the entire process should bear scrutiny, as to ensure its continuous relevance in the global higher education landscape.</w:t>
      </w:r>
    </w:p>
    <w:p w14:paraId="00693377" w14:textId="3DFAFF3A" w:rsidR="00DF7704" w:rsidRPr="00907794" w:rsidRDefault="00DF7704" w:rsidP="00D93D18">
      <w:pPr>
        <w:spacing w:after="0" w:line="240" w:lineRule="auto"/>
        <w:jc w:val="both"/>
        <w:rPr>
          <w:lang w:val="en-US"/>
        </w:rPr>
      </w:pPr>
      <w:r w:rsidRPr="00907794">
        <w:rPr>
          <w:lang w:val="en-US"/>
        </w:rPr>
        <w:t>Having welcomed one new member and with constant pressure to adapt to a more challenging environment</w:t>
      </w:r>
      <w:r w:rsidR="00E966B8" w:rsidRPr="00907794">
        <w:rPr>
          <w:lang w:val="en-US"/>
        </w:rPr>
        <w:t>, described by social and economic turmoil, demographic changes, untraditional / migrant students and geo-political phenomena such as Brexit, the EHEA should find new ways to fulfil its initial goals: increasing</w:t>
      </w:r>
      <w:r w:rsidR="00114365">
        <w:rPr>
          <w:lang w:val="en-US"/>
        </w:rPr>
        <w:t xml:space="preserve"> the</w:t>
      </w:r>
      <w:r w:rsidR="00E966B8" w:rsidRPr="00907794">
        <w:rPr>
          <w:lang w:val="en-US"/>
        </w:rPr>
        <w:t xml:space="preserve"> attractiveness and competitiveness of the European higher education system by settling common values, principles and using comparable instruments.</w:t>
      </w:r>
    </w:p>
    <w:p w14:paraId="41112045" w14:textId="77777777" w:rsidR="00DF7704" w:rsidRPr="00907794" w:rsidRDefault="00DF7704" w:rsidP="00D93D18">
      <w:pPr>
        <w:spacing w:after="0" w:line="240" w:lineRule="auto"/>
        <w:jc w:val="both"/>
        <w:rPr>
          <w:lang w:val="en-US"/>
        </w:rPr>
      </w:pPr>
    </w:p>
    <w:p w14:paraId="13A640D5" w14:textId="77777777" w:rsidR="009A21DC" w:rsidRDefault="00E966B8" w:rsidP="003C50A4">
      <w:pPr>
        <w:spacing w:after="0" w:line="240" w:lineRule="auto"/>
        <w:jc w:val="both"/>
        <w:rPr>
          <w:rFonts w:asciiTheme="minorHAnsi" w:hAnsiTheme="minorHAnsi" w:cs="Arial"/>
          <w:lang w:val="en-US" w:eastAsia="ro-RO"/>
        </w:rPr>
      </w:pPr>
      <w:r w:rsidRPr="00907794">
        <w:rPr>
          <w:lang w:val="en-US"/>
        </w:rPr>
        <w:t>Acknowledging these challenges, the BFUG has taken one step in this direction by the establishment of the “Policy Development for New EHEA Goals” Working Group</w:t>
      </w:r>
      <w:r w:rsidR="003C50A4" w:rsidRPr="00907794">
        <w:rPr>
          <w:rStyle w:val="FootnoteReference"/>
          <w:lang w:val="en-US"/>
        </w:rPr>
        <w:footnoteReference w:id="6"/>
      </w:r>
      <w:r w:rsidRPr="00907794">
        <w:rPr>
          <w:lang w:val="en-US"/>
        </w:rPr>
        <w:t xml:space="preserve">, whose main aim is “to explore potential new priorities for the future of the EHEA beyond 2020”. </w:t>
      </w:r>
      <w:r w:rsidR="003C50A4" w:rsidRPr="00907794">
        <w:rPr>
          <w:lang w:val="en-US"/>
        </w:rPr>
        <w:t xml:space="preserve">A series of topics have been identified as relevant for the future of the Bologna Process, also in line with the recommendation noted in the Yerevan Communique, such as: </w:t>
      </w:r>
      <w:r w:rsidR="003C50A4" w:rsidRPr="00907794">
        <w:rPr>
          <w:rFonts w:asciiTheme="minorHAnsi" w:hAnsiTheme="minorHAnsi" w:cs="Arial"/>
          <w:lang w:val="en-US" w:eastAsia="ro-RO"/>
        </w:rPr>
        <w:t xml:space="preserve">New Learners, Relevance of Competences, Digital Education, Teacher Support, ERA-EHEA </w:t>
      </w:r>
      <w:r w:rsidR="00CF04A0">
        <w:rPr>
          <w:rFonts w:asciiTheme="minorHAnsi" w:hAnsiTheme="minorHAnsi" w:cs="Arial"/>
          <w:lang w:val="en-US" w:eastAsia="ro-RO"/>
        </w:rPr>
        <w:t>(</w:t>
      </w:r>
      <w:r w:rsidR="00D7639E">
        <w:rPr>
          <w:rFonts w:asciiTheme="minorHAnsi" w:hAnsiTheme="minorHAnsi" w:cs="Arial"/>
          <w:lang w:val="en-US" w:eastAsia="ro-RO"/>
        </w:rPr>
        <w:t xml:space="preserve">including the </w:t>
      </w:r>
      <w:r w:rsidR="00CF04A0">
        <w:rPr>
          <w:rFonts w:asciiTheme="minorHAnsi" w:hAnsiTheme="minorHAnsi" w:cs="Arial"/>
          <w:lang w:val="en-US" w:eastAsia="ro-RO"/>
        </w:rPr>
        <w:t>doctoral cycle)</w:t>
      </w:r>
      <w:r w:rsidR="00D7639E">
        <w:rPr>
          <w:rFonts w:asciiTheme="minorHAnsi" w:hAnsiTheme="minorHAnsi" w:cs="Arial"/>
          <w:lang w:val="en-US" w:eastAsia="ro-RO"/>
        </w:rPr>
        <w:t xml:space="preserve"> </w:t>
      </w:r>
      <w:r w:rsidR="003C50A4" w:rsidRPr="00907794">
        <w:rPr>
          <w:rFonts w:asciiTheme="minorHAnsi" w:hAnsiTheme="minorHAnsi" w:cs="Arial"/>
          <w:lang w:val="en-US" w:eastAsia="ro-RO"/>
        </w:rPr>
        <w:t>or Active Citizenship.</w:t>
      </w:r>
      <w:r w:rsidR="00D7639E">
        <w:rPr>
          <w:rFonts w:asciiTheme="minorHAnsi" w:hAnsiTheme="minorHAnsi" w:cs="Arial"/>
          <w:lang w:val="en-US" w:eastAsia="ro-RO"/>
        </w:rPr>
        <w:t xml:space="preserve"> </w:t>
      </w:r>
    </w:p>
    <w:p w14:paraId="04CD472A" w14:textId="77777777" w:rsidR="009A21DC" w:rsidRDefault="009A21DC" w:rsidP="003C50A4">
      <w:pPr>
        <w:spacing w:after="0" w:line="240" w:lineRule="auto"/>
        <w:jc w:val="both"/>
        <w:rPr>
          <w:rFonts w:asciiTheme="minorHAnsi" w:hAnsiTheme="minorHAnsi" w:cs="Arial"/>
          <w:lang w:val="en-US" w:eastAsia="ro-RO"/>
        </w:rPr>
      </w:pPr>
    </w:p>
    <w:p w14:paraId="142613E2" w14:textId="66F5CB7D" w:rsidR="00CF04A0" w:rsidRPr="00CF04A0" w:rsidRDefault="00D93D18" w:rsidP="00D7639E">
      <w:pPr>
        <w:spacing w:after="0" w:line="240" w:lineRule="auto"/>
        <w:jc w:val="both"/>
        <w:rPr>
          <w:lang w:val="en-US"/>
        </w:rPr>
      </w:pPr>
      <w:r w:rsidRPr="00907794">
        <w:rPr>
          <w:lang w:val="en-US"/>
        </w:rPr>
        <w:t xml:space="preserve">Therefore, organizers invite the authors </w:t>
      </w:r>
      <w:r w:rsidR="003C50A4" w:rsidRPr="00907794">
        <w:rPr>
          <w:lang w:val="en-US"/>
        </w:rPr>
        <w:t>to sketch a possible future for the EHEA</w:t>
      </w:r>
      <w:r w:rsidR="00022D83">
        <w:rPr>
          <w:lang w:val="en-US"/>
        </w:rPr>
        <w:t>,</w:t>
      </w:r>
      <w:r w:rsidR="003C50A4" w:rsidRPr="00907794">
        <w:rPr>
          <w:lang w:val="en-US"/>
        </w:rPr>
        <w:t xml:space="preserve"> having in mind its ten year celebration, </w:t>
      </w:r>
      <w:r w:rsidR="00203214" w:rsidRPr="00907794">
        <w:rPr>
          <w:lang w:val="en-US"/>
        </w:rPr>
        <w:t>by</w:t>
      </w:r>
      <w:r w:rsidRPr="00907794">
        <w:rPr>
          <w:lang w:val="en-US"/>
        </w:rPr>
        <w:t xml:space="preserve"> </w:t>
      </w:r>
      <w:r w:rsidR="00203214" w:rsidRPr="00907794">
        <w:rPr>
          <w:lang w:val="en-US"/>
        </w:rPr>
        <w:t>submitting</w:t>
      </w:r>
      <w:r w:rsidRPr="00907794">
        <w:rPr>
          <w:lang w:val="en-US"/>
        </w:rPr>
        <w:t xml:space="preserve"> papers </w:t>
      </w:r>
      <w:r w:rsidR="003C50A4" w:rsidRPr="00907794">
        <w:rPr>
          <w:lang w:val="en-US"/>
        </w:rPr>
        <w:t>addressing</w:t>
      </w:r>
      <w:r w:rsidRPr="00907794">
        <w:rPr>
          <w:lang w:val="en-US"/>
        </w:rPr>
        <w:t xml:space="preserve"> th</w:t>
      </w:r>
      <w:r w:rsidR="00203214" w:rsidRPr="00907794">
        <w:rPr>
          <w:lang w:val="en-US"/>
        </w:rPr>
        <w:t>e current challenges faced by inter-governmental processes of this kind</w:t>
      </w:r>
      <w:r w:rsidR="003C50A4" w:rsidRPr="00907794">
        <w:rPr>
          <w:lang w:val="en-US"/>
        </w:rPr>
        <w:t>, with an emphasis on the new topics identified above.</w:t>
      </w:r>
    </w:p>
    <w:p w14:paraId="0DFF4AE4" w14:textId="77777777" w:rsidR="002F423D" w:rsidRPr="00907794" w:rsidRDefault="002F423D" w:rsidP="002F423D">
      <w:pPr>
        <w:jc w:val="both"/>
        <w:rPr>
          <w:lang w:val="en-US"/>
        </w:rPr>
      </w:pPr>
    </w:p>
    <w:p w14:paraId="7BCE794D" w14:textId="035E7CC0" w:rsidR="00203214" w:rsidRPr="00907794" w:rsidRDefault="002F423D" w:rsidP="00FC6820">
      <w:pPr>
        <w:pStyle w:val="Heading2"/>
        <w:rPr>
          <w:b w:val="0"/>
          <w:sz w:val="28"/>
        </w:rPr>
      </w:pPr>
      <w:r w:rsidRPr="00907794">
        <w:rPr>
          <w:sz w:val="28"/>
        </w:rPr>
        <w:t>4.</w:t>
      </w:r>
      <w:r w:rsidR="003C50A4" w:rsidRPr="00907794">
        <w:rPr>
          <w:sz w:val="28"/>
        </w:rPr>
        <w:t xml:space="preserve"> </w:t>
      </w:r>
      <w:r w:rsidRPr="00907794">
        <w:rPr>
          <w:sz w:val="28"/>
        </w:rPr>
        <w:t xml:space="preserve">Transparency Tools </w:t>
      </w:r>
      <w:r w:rsidR="00114365" w:rsidRPr="00E4611B">
        <w:rPr>
          <w:sz w:val="28"/>
        </w:rPr>
        <w:t>– impact and future developments</w:t>
      </w:r>
    </w:p>
    <w:p w14:paraId="78669BBA" w14:textId="77777777" w:rsidR="00C940B4" w:rsidRDefault="00C940B4" w:rsidP="00590DAF">
      <w:pPr>
        <w:spacing w:after="0" w:line="240" w:lineRule="auto"/>
        <w:jc w:val="both"/>
        <w:rPr>
          <w:lang w:val="en-US"/>
        </w:rPr>
      </w:pPr>
    </w:p>
    <w:p w14:paraId="249899B1" w14:textId="5897F840" w:rsidR="00590DAF" w:rsidRPr="00907794" w:rsidRDefault="00590DAF" w:rsidP="00590DAF">
      <w:pPr>
        <w:spacing w:after="0" w:line="240" w:lineRule="auto"/>
        <w:jc w:val="both"/>
        <w:rPr>
          <w:rFonts w:cs="Arial"/>
          <w:color w:val="000000"/>
          <w:lang w:val="en-US"/>
        </w:rPr>
      </w:pPr>
      <w:r w:rsidRPr="00907794">
        <w:rPr>
          <w:lang w:val="en-US"/>
        </w:rPr>
        <w:t>With the advancement of EHEA, a series of tools have been either developed or improved in order to provide higher quality for learners. Classification of HEIs and ranking of programs have always been looked at, as they provide prospective students, as well as policy makers and other stakeholders with instruments t</w:t>
      </w:r>
      <w:r w:rsidRPr="00907794">
        <w:rPr>
          <w:rFonts w:cs="Arial"/>
          <w:color w:val="000000"/>
          <w:lang w:val="en-US"/>
        </w:rPr>
        <w:t>o balance accountability and improvement within higher education institutions, on the one hand, and the shared responsibilities of higher education institutions, quality assurance agencies and policy-makers, on the other.</w:t>
      </w:r>
    </w:p>
    <w:p w14:paraId="14A87804" w14:textId="77777777" w:rsidR="00590DAF" w:rsidRPr="00907794" w:rsidRDefault="00590DAF" w:rsidP="00590DAF">
      <w:pPr>
        <w:spacing w:after="0" w:line="240" w:lineRule="auto"/>
        <w:jc w:val="both"/>
        <w:rPr>
          <w:lang w:val="en-US"/>
        </w:rPr>
      </w:pPr>
    </w:p>
    <w:p w14:paraId="03919609" w14:textId="7FBF4C01" w:rsidR="00590DAF" w:rsidRPr="00907794" w:rsidRDefault="00590DAF" w:rsidP="00590DAF">
      <w:pPr>
        <w:spacing w:after="0" w:line="240" w:lineRule="auto"/>
        <w:jc w:val="both"/>
        <w:rPr>
          <w:rFonts w:cs="Arial"/>
          <w:color w:val="000000"/>
          <w:lang w:val="en-US"/>
        </w:rPr>
      </w:pPr>
      <w:r w:rsidRPr="00907794">
        <w:rPr>
          <w:lang w:val="en-US"/>
        </w:rPr>
        <w:t>Following an ample process of consultation that involved both the key stakeholder organi</w:t>
      </w:r>
      <w:r w:rsidR="009163EB">
        <w:rPr>
          <w:lang w:val="en-US"/>
        </w:rPr>
        <w:t>za</w:t>
      </w:r>
      <w:r w:rsidRPr="00907794">
        <w:rPr>
          <w:lang w:val="en-US"/>
        </w:rPr>
        <w:t>tions and ministries, the “Standards and Guidelines for Quality Assurance in the European Higher Education Area” (ESG)</w:t>
      </w:r>
      <w:r w:rsidR="00907794" w:rsidRPr="00907794">
        <w:rPr>
          <w:rStyle w:val="FootnoteReference"/>
          <w:lang w:val="en-US"/>
        </w:rPr>
        <w:footnoteReference w:id="7"/>
      </w:r>
      <w:r w:rsidRPr="00907794">
        <w:rPr>
          <w:lang w:val="en-US"/>
        </w:rPr>
        <w:t xml:space="preserve"> have been revised for the Yerevan Ministerial Conference in 2015, as to reflect a joint view on how to take forward quality assurance in the European Higher Education Area and, as such, provide a firm basis for successful implementation. </w:t>
      </w:r>
      <w:r w:rsidRPr="00907794">
        <w:rPr>
          <w:rFonts w:cs="Arial"/>
          <w:color w:val="000000"/>
          <w:lang w:val="en-US"/>
        </w:rPr>
        <w:t xml:space="preserve">The revised ESG also make a more explicit link to </w:t>
      </w:r>
      <w:r w:rsidRPr="00907794">
        <w:rPr>
          <w:rFonts w:cs="Arial"/>
          <w:color w:val="000000"/>
          <w:lang w:val="en-US"/>
        </w:rPr>
        <w:lastRenderedPageBreak/>
        <w:t>the learning and teaching process in the section on internal QA, and defines the relationship of QA with other Bologna Process developments that have taken place since 2005</w:t>
      </w:r>
      <w:r w:rsidR="00907794" w:rsidRPr="00907794">
        <w:rPr>
          <w:rFonts w:cs="Arial"/>
          <w:color w:val="000000"/>
          <w:lang w:val="en-US"/>
        </w:rPr>
        <w:t>.</w:t>
      </w:r>
    </w:p>
    <w:p w14:paraId="4B716017" w14:textId="77777777" w:rsidR="00907794" w:rsidRPr="00907794" w:rsidRDefault="00907794" w:rsidP="00590DAF">
      <w:pPr>
        <w:spacing w:after="0" w:line="240" w:lineRule="auto"/>
        <w:jc w:val="both"/>
        <w:rPr>
          <w:rFonts w:cs="Arial"/>
          <w:color w:val="000000"/>
          <w:lang w:val="en-US"/>
        </w:rPr>
      </w:pPr>
    </w:p>
    <w:p w14:paraId="6ABF10BF" w14:textId="663308F1" w:rsidR="00907794" w:rsidRDefault="00907794" w:rsidP="00590DAF">
      <w:pPr>
        <w:spacing w:after="0" w:line="240" w:lineRule="auto"/>
        <w:jc w:val="both"/>
        <w:rPr>
          <w:rFonts w:cs="Arial"/>
          <w:color w:val="000000"/>
          <w:lang w:val="en-US"/>
        </w:rPr>
      </w:pPr>
      <w:r w:rsidRPr="00907794">
        <w:rPr>
          <w:rFonts w:cs="Arial"/>
          <w:color w:val="000000"/>
          <w:lang w:val="en-US"/>
        </w:rPr>
        <w:t xml:space="preserve">Various other </w:t>
      </w:r>
      <w:r w:rsidR="008C120E">
        <w:rPr>
          <w:rFonts w:cs="Arial"/>
          <w:color w:val="000000"/>
          <w:lang w:val="en-US"/>
        </w:rPr>
        <w:t>transparency tools</w:t>
      </w:r>
      <w:r w:rsidRPr="00907794">
        <w:rPr>
          <w:rFonts w:cs="Arial"/>
          <w:color w:val="000000"/>
          <w:lang w:val="en-US"/>
        </w:rPr>
        <w:t xml:space="preserve"> are already gaining momentum through the efforts of some BFUG Working Groups, such as the digitalization of the Diploma Supplement or open badges </w:t>
      </w:r>
      <w:r w:rsidR="008C120E">
        <w:rPr>
          <w:rFonts w:cs="Arial"/>
          <w:color w:val="000000"/>
          <w:lang w:val="en-US"/>
        </w:rPr>
        <w:t>(</w:t>
      </w:r>
      <w:r w:rsidRPr="00907794">
        <w:rPr>
          <w:rFonts w:cs="Arial"/>
          <w:color w:val="000000"/>
          <w:lang w:val="en-US"/>
        </w:rPr>
        <w:t>verifiable, portable digital badges with embedded metadata about skills and achievements</w:t>
      </w:r>
      <w:r w:rsidR="008C120E">
        <w:rPr>
          <w:rFonts w:cs="Arial"/>
          <w:color w:val="000000"/>
          <w:lang w:val="en-US"/>
        </w:rPr>
        <w:t>).</w:t>
      </w:r>
    </w:p>
    <w:p w14:paraId="4EEAE71B" w14:textId="1B86950C" w:rsidR="00114365" w:rsidRDefault="00114365" w:rsidP="00590DAF">
      <w:pPr>
        <w:spacing w:after="0" w:line="240" w:lineRule="auto"/>
        <w:jc w:val="both"/>
        <w:rPr>
          <w:rFonts w:cs="Arial"/>
          <w:color w:val="000000"/>
          <w:lang w:val="en-US"/>
        </w:rPr>
      </w:pPr>
    </w:p>
    <w:p w14:paraId="1510BC30" w14:textId="6A4C80D7" w:rsidR="00114365" w:rsidRDefault="00114365" w:rsidP="00590DAF">
      <w:pPr>
        <w:spacing w:after="0" w:line="240" w:lineRule="auto"/>
        <w:jc w:val="both"/>
        <w:rPr>
          <w:rFonts w:cs="Arial"/>
          <w:color w:val="000000"/>
          <w:lang w:val="en-US"/>
        </w:rPr>
      </w:pPr>
      <w:r>
        <w:rPr>
          <w:rFonts w:cs="Arial"/>
          <w:color w:val="000000"/>
          <w:lang w:val="en-US"/>
        </w:rPr>
        <w:t>The submitted papers should address topics related to:</w:t>
      </w:r>
    </w:p>
    <w:p w14:paraId="13F79B04" w14:textId="4F1D6AD0" w:rsidR="00114365" w:rsidRDefault="00114365" w:rsidP="00E4611B">
      <w:pPr>
        <w:pStyle w:val="ListParagraph"/>
        <w:numPr>
          <w:ilvl w:val="0"/>
          <w:numId w:val="4"/>
        </w:numPr>
        <w:jc w:val="both"/>
        <w:rPr>
          <w:rFonts w:cs="Arial"/>
          <w:color w:val="000000"/>
          <w:lang w:val="en-US"/>
        </w:rPr>
      </w:pPr>
      <w:r>
        <w:rPr>
          <w:rFonts w:cs="Arial"/>
          <w:color w:val="000000"/>
          <w:lang w:val="en-US"/>
        </w:rPr>
        <w:t>impact of existing transparency tools, including their use for policy decisions (diversification of HE systems, financing, governance etc.);</w:t>
      </w:r>
    </w:p>
    <w:p w14:paraId="36978A1A" w14:textId="5BACD6A4" w:rsidR="00114365" w:rsidRDefault="00114365" w:rsidP="00E4611B">
      <w:pPr>
        <w:pStyle w:val="ListParagraph"/>
        <w:numPr>
          <w:ilvl w:val="0"/>
          <w:numId w:val="4"/>
        </w:numPr>
        <w:jc w:val="both"/>
        <w:rPr>
          <w:rFonts w:cs="Arial"/>
          <w:color w:val="000000"/>
          <w:lang w:val="en-US"/>
        </w:rPr>
      </w:pPr>
      <w:r>
        <w:rPr>
          <w:rFonts w:cs="Arial"/>
          <w:color w:val="000000"/>
          <w:lang w:val="en-US"/>
        </w:rPr>
        <w:t>future developments of transparency tools;</w:t>
      </w:r>
    </w:p>
    <w:p w14:paraId="10B34412" w14:textId="7B4DEB8F" w:rsidR="00114365" w:rsidRPr="00E4611B" w:rsidRDefault="00114365" w:rsidP="00E4611B">
      <w:pPr>
        <w:pStyle w:val="ListParagraph"/>
        <w:numPr>
          <w:ilvl w:val="0"/>
          <w:numId w:val="4"/>
        </w:numPr>
        <w:jc w:val="both"/>
        <w:rPr>
          <w:rFonts w:cs="Arial"/>
          <w:color w:val="000000"/>
          <w:lang w:val="en-US"/>
        </w:rPr>
      </w:pPr>
      <w:r>
        <w:rPr>
          <w:rFonts w:cs="Arial"/>
          <w:color w:val="000000"/>
          <w:lang w:val="en-US"/>
        </w:rPr>
        <w:t>synergies and overlaps between existing transparency tools in HE.</w:t>
      </w:r>
    </w:p>
    <w:p w14:paraId="024E1C2B" w14:textId="77777777" w:rsidR="004F420B" w:rsidRDefault="004F420B" w:rsidP="00590DAF">
      <w:pPr>
        <w:spacing w:after="0" w:line="240" w:lineRule="auto"/>
        <w:jc w:val="both"/>
        <w:rPr>
          <w:lang w:val="en-US"/>
        </w:rPr>
      </w:pPr>
    </w:p>
    <w:p w14:paraId="5C0CC420" w14:textId="77777777" w:rsidR="00D12115" w:rsidRPr="00907794" w:rsidRDefault="00D12115" w:rsidP="00590DAF">
      <w:pPr>
        <w:spacing w:after="0" w:line="240" w:lineRule="auto"/>
        <w:jc w:val="both"/>
        <w:rPr>
          <w:lang w:val="en-US"/>
        </w:rPr>
      </w:pPr>
    </w:p>
    <w:p w14:paraId="338114C8" w14:textId="532ECDAF" w:rsidR="002F423D" w:rsidRPr="00907794" w:rsidRDefault="002F423D" w:rsidP="00FC6820">
      <w:pPr>
        <w:pStyle w:val="Heading2"/>
        <w:rPr>
          <w:b w:val="0"/>
          <w:sz w:val="28"/>
        </w:rPr>
      </w:pPr>
      <w:r w:rsidRPr="00907794">
        <w:rPr>
          <w:sz w:val="28"/>
        </w:rPr>
        <w:t xml:space="preserve">5. </w:t>
      </w:r>
      <w:r w:rsidR="003C50A4" w:rsidRPr="00907794">
        <w:rPr>
          <w:sz w:val="28"/>
        </w:rPr>
        <w:t xml:space="preserve">Financing and </w:t>
      </w:r>
      <w:r w:rsidRPr="00907794">
        <w:rPr>
          <w:sz w:val="28"/>
        </w:rPr>
        <w:t xml:space="preserve">Governance </w:t>
      </w:r>
    </w:p>
    <w:p w14:paraId="1CC75035" w14:textId="77777777" w:rsidR="00C940B4" w:rsidRDefault="00C940B4" w:rsidP="003C50A4">
      <w:pPr>
        <w:spacing w:after="0" w:line="240" w:lineRule="auto"/>
        <w:jc w:val="both"/>
        <w:rPr>
          <w:lang w:val="en-US"/>
        </w:rPr>
      </w:pPr>
    </w:p>
    <w:p w14:paraId="02FEFC9A" w14:textId="32D2AA9F" w:rsidR="003C50A4" w:rsidRPr="00907794" w:rsidRDefault="00114365" w:rsidP="003C50A4">
      <w:pPr>
        <w:spacing w:after="0" w:line="240" w:lineRule="auto"/>
        <w:jc w:val="both"/>
        <w:rPr>
          <w:lang w:val="en-US"/>
        </w:rPr>
      </w:pPr>
      <w:r>
        <w:rPr>
          <w:lang w:val="en-US"/>
        </w:rPr>
        <w:t>The</w:t>
      </w:r>
      <w:r w:rsidR="003C50A4" w:rsidRPr="00907794">
        <w:rPr>
          <w:lang w:val="en-US"/>
        </w:rPr>
        <w:t xml:space="preserve"> Bucharest Ministerial Communique (2012) has reaffirmed the commitment of the European Ministers of Education to support a sustainable educational system by assuring the highest possible level of public funding for education, while encouraging HEIs to intensify their attempts to draw upon other appropriate financing sources. EHEA Ministers also committed to intensify the policy dialogue on both financing and governance of higher education.</w:t>
      </w:r>
    </w:p>
    <w:p w14:paraId="0B2D55F9" w14:textId="77777777" w:rsidR="003C50A4" w:rsidRPr="00907794" w:rsidRDefault="003C50A4" w:rsidP="003C50A4">
      <w:pPr>
        <w:spacing w:after="0" w:line="240" w:lineRule="auto"/>
        <w:jc w:val="both"/>
        <w:rPr>
          <w:lang w:val="en-US"/>
        </w:rPr>
      </w:pPr>
    </w:p>
    <w:p w14:paraId="6547E382" w14:textId="77777777" w:rsidR="003C50A4" w:rsidRPr="00907794" w:rsidRDefault="003C50A4" w:rsidP="003C50A4">
      <w:pPr>
        <w:spacing w:after="0" w:line="240" w:lineRule="auto"/>
        <w:jc w:val="both"/>
        <w:rPr>
          <w:lang w:val="en-US"/>
        </w:rPr>
      </w:pPr>
      <w:r w:rsidRPr="00907794">
        <w:rPr>
          <w:lang w:val="en-US"/>
        </w:rPr>
        <w:t xml:space="preserve">In this context, we invite researchers to write papers on case studies or compare cases regarding: </w:t>
      </w:r>
    </w:p>
    <w:p w14:paraId="11EFEFF3" w14:textId="77777777" w:rsidR="003C50A4" w:rsidRPr="00907794" w:rsidRDefault="003C50A4" w:rsidP="003C50A4">
      <w:pPr>
        <w:pStyle w:val="ColorfulList-Accent11"/>
        <w:numPr>
          <w:ilvl w:val="0"/>
          <w:numId w:val="5"/>
        </w:numPr>
        <w:spacing w:after="0" w:line="240" w:lineRule="auto"/>
        <w:contextualSpacing/>
        <w:jc w:val="both"/>
        <w:rPr>
          <w:lang w:val="en-US"/>
        </w:rPr>
      </w:pPr>
      <w:r w:rsidRPr="00907794">
        <w:rPr>
          <w:lang w:val="en-US"/>
        </w:rPr>
        <w:t>different financing systems within the EHEA and beyond;</w:t>
      </w:r>
    </w:p>
    <w:p w14:paraId="3CD4FFE4" w14:textId="77777777" w:rsidR="003C50A4" w:rsidRPr="00907794" w:rsidRDefault="003C50A4" w:rsidP="003C50A4">
      <w:pPr>
        <w:pStyle w:val="ColorfulList-Accent11"/>
        <w:numPr>
          <w:ilvl w:val="0"/>
          <w:numId w:val="5"/>
        </w:numPr>
        <w:spacing w:after="0" w:line="240" w:lineRule="auto"/>
        <w:contextualSpacing/>
        <w:jc w:val="both"/>
        <w:rPr>
          <w:lang w:val="en-US"/>
        </w:rPr>
      </w:pPr>
      <w:r w:rsidRPr="00907794">
        <w:rPr>
          <w:lang w:val="en-US"/>
        </w:rPr>
        <w:t>governance principles and policies both at institutional level and systemic, national level;</w:t>
      </w:r>
    </w:p>
    <w:p w14:paraId="526993A9" w14:textId="77777777" w:rsidR="003C50A4" w:rsidRPr="00907794" w:rsidRDefault="003C50A4" w:rsidP="003C50A4">
      <w:pPr>
        <w:pStyle w:val="ColorfulList-Accent11"/>
        <w:numPr>
          <w:ilvl w:val="0"/>
          <w:numId w:val="5"/>
        </w:numPr>
        <w:spacing w:after="0" w:line="240" w:lineRule="auto"/>
        <w:contextualSpacing/>
        <w:jc w:val="both"/>
        <w:rPr>
          <w:lang w:val="en-US"/>
        </w:rPr>
      </w:pPr>
      <w:r w:rsidRPr="00907794">
        <w:rPr>
          <w:lang w:val="en-US"/>
        </w:rPr>
        <w:t>strategic allocation of budgetary resources;</w:t>
      </w:r>
    </w:p>
    <w:p w14:paraId="37529F53" w14:textId="026335E4" w:rsidR="003C50A4" w:rsidRPr="00D7639E" w:rsidRDefault="003C50A4" w:rsidP="003C50A4">
      <w:pPr>
        <w:pStyle w:val="ColorfulList-Accent11"/>
        <w:numPr>
          <w:ilvl w:val="0"/>
          <w:numId w:val="5"/>
        </w:numPr>
        <w:spacing w:after="0" w:line="240" w:lineRule="auto"/>
        <w:contextualSpacing/>
        <w:jc w:val="both"/>
        <w:rPr>
          <w:b/>
          <w:lang w:val="en-US"/>
        </w:rPr>
      </w:pPr>
      <w:r w:rsidRPr="00907794">
        <w:rPr>
          <w:lang w:val="en-US"/>
        </w:rPr>
        <w:t>efficiency in the delivery of public services</w:t>
      </w:r>
      <w:r w:rsidR="00D7639E">
        <w:rPr>
          <w:lang w:val="en-US"/>
        </w:rPr>
        <w:t>;</w:t>
      </w:r>
    </w:p>
    <w:p w14:paraId="6D4E0782" w14:textId="650EB2C0" w:rsidR="00CF04A0" w:rsidRPr="00907794" w:rsidRDefault="00022D83" w:rsidP="003C50A4">
      <w:pPr>
        <w:pStyle w:val="ColorfulList-Accent11"/>
        <w:numPr>
          <w:ilvl w:val="0"/>
          <w:numId w:val="5"/>
        </w:numPr>
        <w:spacing w:after="0" w:line="240" w:lineRule="auto"/>
        <w:contextualSpacing/>
        <w:jc w:val="both"/>
        <w:rPr>
          <w:b/>
          <w:lang w:val="en-US"/>
        </w:rPr>
      </w:pPr>
      <w:r>
        <w:rPr>
          <w:lang w:val="en-US"/>
        </w:rPr>
        <w:t xml:space="preserve">fostering </w:t>
      </w:r>
      <w:r w:rsidR="00CF04A0">
        <w:rPr>
          <w:lang w:val="en-US"/>
        </w:rPr>
        <w:t>autonomy</w:t>
      </w:r>
      <w:r>
        <w:rPr>
          <w:lang w:val="en-US"/>
        </w:rPr>
        <w:t xml:space="preserve"> in a climate of societal accountability</w:t>
      </w:r>
      <w:r w:rsidR="00D7639E">
        <w:rPr>
          <w:lang w:val="en-US"/>
        </w:rPr>
        <w:t>.</w:t>
      </w:r>
    </w:p>
    <w:p w14:paraId="77B70053" w14:textId="77777777" w:rsidR="003C50A4" w:rsidRPr="00907794" w:rsidRDefault="003C50A4" w:rsidP="003C50A4">
      <w:pPr>
        <w:spacing w:after="0" w:line="240" w:lineRule="auto"/>
        <w:jc w:val="both"/>
        <w:rPr>
          <w:lang w:val="en-US"/>
        </w:rPr>
      </w:pPr>
    </w:p>
    <w:p w14:paraId="67BF311A" w14:textId="10516045" w:rsidR="0059680F" w:rsidRPr="009A21DC" w:rsidRDefault="003C50A4" w:rsidP="009A21DC">
      <w:pPr>
        <w:spacing w:after="0" w:line="240" w:lineRule="auto"/>
        <w:jc w:val="both"/>
        <w:rPr>
          <w:b/>
          <w:lang w:val="en-US"/>
        </w:rPr>
      </w:pPr>
      <w:r w:rsidRPr="00907794">
        <w:rPr>
          <w:lang w:val="en-US"/>
        </w:rPr>
        <w:t xml:space="preserve">As well, papers could also </w:t>
      </w:r>
      <w:r w:rsidR="00427A1D" w:rsidRPr="00907794">
        <w:rPr>
          <w:lang w:val="en-US"/>
        </w:rPr>
        <w:t>analyze</w:t>
      </w:r>
      <w:r w:rsidRPr="00907794">
        <w:rPr>
          <w:lang w:val="en-US"/>
        </w:rPr>
        <w:t xml:space="preserve"> and discuss different case studies regarding the impact of institutional policies in matters such as programs selection / educational paths or diversification of funding streams.</w:t>
      </w:r>
      <w:r w:rsidRPr="00907794">
        <w:rPr>
          <w:b/>
          <w:lang w:val="en-US"/>
        </w:rPr>
        <w:t xml:space="preserve"> </w:t>
      </w:r>
    </w:p>
    <w:p w14:paraId="3B1084B8" w14:textId="4F72B3C4" w:rsidR="00337289" w:rsidRDefault="00337289">
      <w:pPr>
        <w:spacing w:after="0" w:line="240" w:lineRule="auto"/>
        <w:rPr>
          <w:b/>
          <w:lang w:val="en-US"/>
        </w:rPr>
      </w:pPr>
      <w:r>
        <w:rPr>
          <w:b/>
          <w:lang w:val="en-US"/>
        </w:rPr>
        <w:br w:type="page"/>
      </w:r>
    </w:p>
    <w:p w14:paraId="03C06987" w14:textId="65556FBC" w:rsidR="00203214" w:rsidRPr="00907794" w:rsidRDefault="00203214" w:rsidP="00FC6820">
      <w:pPr>
        <w:pStyle w:val="Heading1"/>
        <w:rPr>
          <w:b w:val="0"/>
          <w:sz w:val="24"/>
        </w:rPr>
      </w:pPr>
      <w:r w:rsidRPr="00907794">
        <w:rPr>
          <w:sz w:val="24"/>
        </w:rPr>
        <w:lastRenderedPageBreak/>
        <w:t>The Editorial Board</w:t>
      </w:r>
    </w:p>
    <w:p w14:paraId="079D1BFD" w14:textId="77777777" w:rsidR="007874BE" w:rsidRPr="00907794" w:rsidRDefault="007874BE" w:rsidP="00E91BF4">
      <w:pPr>
        <w:spacing w:after="0" w:line="240" w:lineRule="auto"/>
        <w:rPr>
          <w:bCs/>
          <w:lang w:val="en-US"/>
        </w:rPr>
      </w:pPr>
    </w:p>
    <w:p w14:paraId="7F62B62C" w14:textId="76F02C5F" w:rsidR="00EE7335" w:rsidRPr="00907794" w:rsidRDefault="00EE7335" w:rsidP="00EE7335">
      <w:pPr>
        <w:widowControl w:val="0"/>
        <w:autoSpaceDE w:val="0"/>
        <w:autoSpaceDN w:val="0"/>
        <w:adjustRightInd w:val="0"/>
        <w:spacing w:after="0" w:line="240" w:lineRule="auto"/>
        <w:jc w:val="both"/>
        <w:rPr>
          <w:rFonts w:eastAsia="Times New Roman"/>
          <w:color w:val="000000"/>
          <w:lang w:val="en-US"/>
        </w:rPr>
      </w:pPr>
      <w:r w:rsidRPr="00907794">
        <w:rPr>
          <w:bCs/>
          <w:color w:val="000000"/>
          <w:lang w:val="en-US"/>
        </w:rPr>
        <w:t xml:space="preserve">Based on the desired topics for discussion, the organizers will then ensure a professional approach to these themes, by designing an appropriate working structure. Thus, the conference will benefit from overall coordination of an Editorial Board. The Editorial Board, comprised of </w:t>
      </w:r>
      <w:r w:rsidR="0051524D">
        <w:rPr>
          <w:bCs/>
          <w:color w:val="000000"/>
          <w:lang w:val="en-US"/>
        </w:rPr>
        <w:t>9</w:t>
      </w:r>
      <w:r w:rsidR="007C3E43">
        <w:rPr>
          <w:bCs/>
          <w:color w:val="000000"/>
          <w:lang w:val="en-US"/>
        </w:rPr>
        <w:t xml:space="preserve"> </w:t>
      </w:r>
      <w:r w:rsidRPr="00907794">
        <w:rPr>
          <w:bCs/>
          <w:color w:val="000000"/>
          <w:lang w:val="en-US"/>
        </w:rPr>
        <w:t>well-renowned higher education experts in the field (</w:t>
      </w:r>
      <w:r w:rsidR="0051524D">
        <w:rPr>
          <w:bCs/>
          <w:color w:val="000000"/>
          <w:lang w:val="en-US"/>
        </w:rPr>
        <w:t xml:space="preserve">book editors, </w:t>
      </w:r>
      <w:r w:rsidRPr="00907794">
        <w:rPr>
          <w:bCs/>
          <w:color w:val="000000"/>
          <w:lang w:val="en-US"/>
        </w:rPr>
        <w:t>thematic coordinators</w:t>
      </w:r>
      <w:r w:rsidR="0051524D">
        <w:rPr>
          <w:bCs/>
          <w:color w:val="000000"/>
          <w:lang w:val="en-US"/>
        </w:rPr>
        <w:t xml:space="preserve">/ co-editors </w:t>
      </w:r>
      <w:r w:rsidRPr="00907794">
        <w:rPr>
          <w:bCs/>
          <w:color w:val="000000"/>
          <w:lang w:val="en-US"/>
        </w:rPr>
        <w:t xml:space="preserve">and General Rapporteur), will oversee the content development and results publication. The thematic coordinators will be experts in their field and will have as main responsibilities </w:t>
      </w:r>
      <w:r w:rsidRPr="00907794">
        <w:rPr>
          <w:rFonts w:eastAsia="Times New Roman"/>
          <w:color w:val="000000"/>
          <w:lang w:val="en-US"/>
        </w:rPr>
        <w:t xml:space="preserve">identifying 4-5 sub-themes for articles, as well as their corresponding authors, coordinating the process of article drafting, including by providing editorial feedback and guidance prior and after the Researchers’ Conference, providing the </w:t>
      </w:r>
      <w:r w:rsidR="00AB089B" w:rsidRPr="00907794">
        <w:rPr>
          <w:rFonts w:eastAsia="Times New Roman"/>
          <w:color w:val="000000"/>
          <w:lang w:val="en-US"/>
        </w:rPr>
        <w:t>organizers</w:t>
      </w:r>
      <w:r w:rsidRPr="00907794">
        <w:rPr>
          <w:rFonts w:eastAsia="Times New Roman"/>
          <w:color w:val="000000"/>
          <w:lang w:val="en-US"/>
        </w:rPr>
        <w:t xml:space="preserve"> with a substantiated opinion regarding which articles are fit for publishing in the volumes of outcome of proceedings, as well as authoring an  anchor thematic paper, which will serve as an integrating framework for the articles in the respective thematic session and participating in 1-2</w:t>
      </w:r>
      <w:r w:rsidR="007C3E43">
        <w:rPr>
          <w:rFonts w:eastAsia="Times New Roman"/>
          <w:color w:val="000000"/>
          <w:lang w:val="en-US"/>
        </w:rPr>
        <w:t xml:space="preserve"> </w:t>
      </w:r>
      <w:r w:rsidRPr="00907794">
        <w:rPr>
          <w:rFonts w:eastAsia="Times New Roman"/>
          <w:color w:val="000000"/>
          <w:lang w:val="en-US"/>
        </w:rPr>
        <w:t xml:space="preserve">specific meetings prior to the conference. </w:t>
      </w:r>
    </w:p>
    <w:p w14:paraId="02227803" w14:textId="77777777" w:rsidR="00EE7335" w:rsidRPr="00907794" w:rsidRDefault="00EE7335" w:rsidP="00E91BF4">
      <w:pPr>
        <w:spacing w:after="0" w:line="240" w:lineRule="auto"/>
        <w:rPr>
          <w:b/>
          <w:bCs/>
          <w:lang w:val="en-US"/>
        </w:rPr>
      </w:pPr>
    </w:p>
    <w:p w14:paraId="31477860" w14:textId="0F1E2E53" w:rsidR="007874BE" w:rsidRPr="00907794" w:rsidRDefault="007874BE" w:rsidP="003C50A4">
      <w:pPr>
        <w:spacing w:after="0" w:line="240" w:lineRule="auto"/>
        <w:jc w:val="both"/>
        <w:rPr>
          <w:bCs/>
          <w:lang w:val="en-US"/>
        </w:rPr>
      </w:pPr>
      <w:r w:rsidRPr="00907794">
        <w:rPr>
          <w:bCs/>
          <w:lang w:val="en-US"/>
        </w:rPr>
        <w:t xml:space="preserve">Each of the </w:t>
      </w:r>
      <w:r w:rsidR="00203214" w:rsidRPr="00907794">
        <w:rPr>
          <w:bCs/>
          <w:lang w:val="en-US"/>
        </w:rPr>
        <w:t>thematic tracks of the conference described above will be led</w:t>
      </w:r>
      <w:r w:rsidRPr="00907794">
        <w:rPr>
          <w:bCs/>
          <w:lang w:val="en-US"/>
        </w:rPr>
        <w:t xml:space="preserve"> by </w:t>
      </w:r>
      <w:r w:rsidR="009D7AB7" w:rsidRPr="00907794">
        <w:rPr>
          <w:bCs/>
          <w:lang w:val="en-US"/>
        </w:rPr>
        <w:t xml:space="preserve">specific </w:t>
      </w:r>
      <w:r w:rsidRPr="00907794">
        <w:rPr>
          <w:bCs/>
          <w:lang w:val="en-US"/>
        </w:rPr>
        <w:t>thematic coordinator</w:t>
      </w:r>
      <w:r w:rsidR="009D7AB7" w:rsidRPr="00907794">
        <w:rPr>
          <w:bCs/>
          <w:lang w:val="en-US"/>
        </w:rPr>
        <w:t>(</w:t>
      </w:r>
      <w:r w:rsidRPr="00907794">
        <w:rPr>
          <w:bCs/>
          <w:lang w:val="en-US"/>
        </w:rPr>
        <w:t>s</w:t>
      </w:r>
      <w:r w:rsidR="009D7AB7" w:rsidRPr="00907794">
        <w:rPr>
          <w:bCs/>
          <w:lang w:val="en-US"/>
        </w:rPr>
        <w:t>)</w:t>
      </w:r>
      <w:r w:rsidRPr="00907794">
        <w:rPr>
          <w:bCs/>
          <w:lang w:val="en-US"/>
        </w:rPr>
        <w:t xml:space="preserve"> as follows:</w:t>
      </w:r>
    </w:p>
    <w:p w14:paraId="1DE1CEF2" w14:textId="77777777" w:rsidR="00E91BF4" w:rsidRPr="00907794" w:rsidRDefault="00E91BF4" w:rsidP="00E91BF4">
      <w:pPr>
        <w:spacing w:after="0" w:line="240" w:lineRule="auto"/>
        <w:rPr>
          <w:bCs/>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2525"/>
        <w:gridCol w:w="5528"/>
      </w:tblGrid>
      <w:tr w:rsidR="007874BE" w:rsidRPr="00907794" w14:paraId="7E47D1AF" w14:textId="77777777" w:rsidTr="0051524D">
        <w:tc>
          <w:tcPr>
            <w:tcW w:w="1014" w:type="dxa"/>
            <w:shd w:val="clear" w:color="auto" w:fill="auto"/>
          </w:tcPr>
          <w:p w14:paraId="7ACCEC1B" w14:textId="77777777" w:rsidR="007874BE" w:rsidRPr="00907794" w:rsidRDefault="007874BE" w:rsidP="0051524D">
            <w:pPr>
              <w:spacing w:after="0" w:line="360" w:lineRule="auto"/>
              <w:ind w:right="-257"/>
              <w:jc w:val="center"/>
              <w:rPr>
                <w:rFonts w:cs="Calibri"/>
                <w:b/>
                <w:bCs/>
                <w:color w:val="000000"/>
                <w:lang w:val="en-US"/>
              </w:rPr>
            </w:pPr>
            <w:r w:rsidRPr="00907794">
              <w:rPr>
                <w:rFonts w:cs="Calibri"/>
                <w:b/>
                <w:bCs/>
                <w:color w:val="000000"/>
                <w:lang w:val="en-US"/>
              </w:rPr>
              <w:t>No.</w:t>
            </w:r>
          </w:p>
        </w:tc>
        <w:tc>
          <w:tcPr>
            <w:tcW w:w="2525" w:type="dxa"/>
            <w:shd w:val="clear" w:color="auto" w:fill="auto"/>
          </w:tcPr>
          <w:p w14:paraId="228AD1FA" w14:textId="3E062C49" w:rsidR="007874BE" w:rsidRPr="00907794" w:rsidRDefault="007874BE" w:rsidP="0051524D">
            <w:pPr>
              <w:spacing w:after="0" w:line="360" w:lineRule="auto"/>
              <w:ind w:right="-257"/>
              <w:rPr>
                <w:rFonts w:cs="Calibri"/>
                <w:b/>
                <w:bCs/>
                <w:color w:val="000000"/>
                <w:lang w:val="en-US"/>
              </w:rPr>
            </w:pPr>
            <w:r w:rsidRPr="00907794">
              <w:rPr>
                <w:rFonts w:cs="Calibri"/>
                <w:b/>
                <w:bCs/>
                <w:color w:val="000000"/>
                <w:lang w:val="en-US"/>
              </w:rPr>
              <w:t xml:space="preserve">Thematic </w:t>
            </w:r>
            <w:r w:rsidR="0051524D">
              <w:rPr>
                <w:rFonts w:cs="Calibri"/>
                <w:b/>
                <w:bCs/>
                <w:color w:val="000000"/>
                <w:lang w:val="en-US"/>
              </w:rPr>
              <w:t>Coordinator</w:t>
            </w:r>
          </w:p>
        </w:tc>
        <w:tc>
          <w:tcPr>
            <w:tcW w:w="5528" w:type="dxa"/>
            <w:shd w:val="clear" w:color="auto" w:fill="auto"/>
          </w:tcPr>
          <w:p w14:paraId="42A63B90" w14:textId="77777777" w:rsidR="007874BE" w:rsidRPr="00907794" w:rsidRDefault="007874BE" w:rsidP="0051524D">
            <w:pPr>
              <w:spacing w:after="0" w:line="360" w:lineRule="auto"/>
              <w:ind w:right="-257"/>
              <w:rPr>
                <w:rFonts w:cs="Calibri"/>
                <w:b/>
                <w:bCs/>
                <w:color w:val="000000"/>
                <w:lang w:val="en-US"/>
              </w:rPr>
            </w:pPr>
            <w:r w:rsidRPr="00907794">
              <w:rPr>
                <w:rFonts w:cs="Calibri"/>
                <w:b/>
                <w:bCs/>
                <w:color w:val="000000"/>
                <w:lang w:val="en-US"/>
              </w:rPr>
              <w:t>Role</w:t>
            </w:r>
          </w:p>
        </w:tc>
      </w:tr>
      <w:tr w:rsidR="007874BE" w:rsidRPr="00907794" w14:paraId="7B803EF8" w14:textId="77777777" w:rsidTr="0051524D">
        <w:trPr>
          <w:trHeight w:val="591"/>
        </w:trPr>
        <w:tc>
          <w:tcPr>
            <w:tcW w:w="1014" w:type="dxa"/>
            <w:shd w:val="clear" w:color="auto" w:fill="auto"/>
            <w:vAlign w:val="center"/>
          </w:tcPr>
          <w:p w14:paraId="244426A1" w14:textId="77777777" w:rsidR="007874BE" w:rsidRPr="00907794" w:rsidRDefault="007874BE" w:rsidP="0051524D">
            <w:pPr>
              <w:spacing w:after="0" w:line="360" w:lineRule="auto"/>
              <w:ind w:right="-257"/>
              <w:jc w:val="center"/>
              <w:rPr>
                <w:rFonts w:cs="Calibri"/>
                <w:bCs/>
                <w:color w:val="000000"/>
                <w:lang w:val="en-US"/>
              </w:rPr>
            </w:pPr>
            <w:r w:rsidRPr="00907794">
              <w:rPr>
                <w:rFonts w:cs="Calibri"/>
                <w:bCs/>
                <w:color w:val="000000"/>
                <w:lang w:val="en-US"/>
              </w:rPr>
              <w:t>1</w:t>
            </w:r>
          </w:p>
        </w:tc>
        <w:tc>
          <w:tcPr>
            <w:tcW w:w="2525" w:type="dxa"/>
            <w:shd w:val="clear" w:color="auto" w:fill="auto"/>
            <w:vAlign w:val="center"/>
          </w:tcPr>
          <w:p w14:paraId="658AB24C" w14:textId="7442D0ED" w:rsidR="007874BE" w:rsidRPr="00907794" w:rsidRDefault="00AB089B" w:rsidP="0051524D">
            <w:pPr>
              <w:spacing w:after="0" w:line="360" w:lineRule="auto"/>
              <w:ind w:right="-257"/>
              <w:rPr>
                <w:rFonts w:cs="Calibri"/>
                <w:bCs/>
                <w:color w:val="000000"/>
                <w:lang w:val="en-US"/>
              </w:rPr>
            </w:pPr>
            <w:r w:rsidRPr="00907794">
              <w:rPr>
                <w:rFonts w:cs="Calibri"/>
                <w:bCs/>
                <w:color w:val="000000"/>
                <w:lang w:val="en-US"/>
              </w:rPr>
              <w:t>Hans de Wit</w:t>
            </w:r>
            <w:r w:rsidR="00C940B4">
              <w:rPr>
                <w:rFonts w:cs="Calibri"/>
                <w:bCs/>
                <w:color w:val="000000"/>
                <w:lang w:val="en-US"/>
              </w:rPr>
              <w:t xml:space="preserve"> </w:t>
            </w:r>
          </w:p>
        </w:tc>
        <w:tc>
          <w:tcPr>
            <w:tcW w:w="5528" w:type="dxa"/>
            <w:shd w:val="clear" w:color="auto" w:fill="auto"/>
            <w:vAlign w:val="center"/>
          </w:tcPr>
          <w:p w14:paraId="14E6F636" w14:textId="255CCD75" w:rsidR="00427A1D" w:rsidRPr="00C940B4" w:rsidRDefault="00427A1D" w:rsidP="0051524D">
            <w:pPr>
              <w:spacing w:after="0" w:line="360" w:lineRule="auto"/>
              <w:ind w:right="-257"/>
              <w:rPr>
                <w:rFonts w:cs="Calibri"/>
                <w:bCs/>
                <w:lang w:val="en-US"/>
              </w:rPr>
            </w:pPr>
            <w:r w:rsidRPr="00C940B4">
              <w:rPr>
                <w:rFonts w:cs="Calibri"/>
                <w:bCs/>
                <w:lang w:val="en-US"/>
              </w:rPr>
              <w:t xml:space="preserve">Bologna Process and the wider world of Higher Education </w:t>
            </w:r>
          </w:p>
        </w:tc>
      </w:tr>
      <w:tr w:rsidR="007874BE" w:rsidRPr="00907794" w14:paraId="20B07FD1" w14:textId="77777777" w:rsidTr="0051524D">
        <w:tc>
          <w:tcPr>
            <w:tcW w:w="1014" w:type="dxa"/>
            <w:shd w:val="clear" w:color="auto" w:fill="auto"/>
            <w:vAlign w:val="center"/>
          </w:tcPr>
          <w:p w14:paraId="762F099B" w14:textId="23907E29" w:rsidR="007874BE" w:rsidRPr="00907794" w:rsidRDefault="002744A0" w:rsidP="0051524D">
            <w:pPr>
              <w:spacing w:after="0" w:line="360" w:lineRule="auto"/>
              <w:ind w:right="-257"/>
              <w:jc w:val="center"/>
              <w:rPr>
                <w:rFonts w:cs="Calibri"/>
                <w:bCs/>
                <w:color w:val="000000"/>
                <w:lang w:val="en-US"/>
              </w:rPr>
            </w:pPr>
            <w:r w:rsidRPr="00907794">
              <w:rPr>
                <w:rFonts w:cs="Calibri"/>
                <w:bCs/>
                <w:color w:val="000000"/>
                <w:lang w:val="en-US"/>
              </w:rPr>
              <w:t>2</w:t>
            </w:r>
          </w:p>
        </w:tc>
        <w:tc>
          <w:tcPr>
            <w:tcW w:w="2525" w:type="dxa"/>
            <w:shd w:val="clear" w:color="auto" w:fill="auto"/>
            <w:vAlign w:val="center"/>
          </w:tcPr>
          <w:p w14:paraId="059063DE" w14:textId="344B5FA1" w:rsidR="007874BE" w:rsidRPr="00907794" w:rsidRDefault="00DB5A50" w:rsidP="0051524D">
            <w:pPr>
              <w:spacing w:after="0" w:line="360" w:lineRule="auto"/>
              <w:ind w:right="-257"/>
              <w:rPr>
                <w:rFonts w:cs="Calibri"/>
                <w:bCs/>
                <w:color w:val="000000"/>
                <w:lang w:val="en-US"/>
              </w:rPr>
            </w:pPr>
            <w:r>
              <w:rPr>
                <w:rFonts w:cs="Calibri"/>
                <w:bCs/>
                <w:color w:val="000000"/>
                <w:lang w:val="en-US"/>
              </w:rPr>
              <w:t>Jamil Salmi</w:t>
            </w:r>
          </w:p>
        </w:tc>
        <w:tc>
          <w:tcPr>
            <w:tcW w:w="5528" w:type="dxa"/>
            <w:shd w:val="clear" w:color="auto" w:fill="auto"/>
            <w:vAlign w:val="center"/>
          </w:tcPr>
          <w:p w14:paraId="0F53E623" w14:textId="4EA8C1AE" w:rsidR="007874BE" w:rsidRPr="00907794" w:rsidRDefault="007C3E43" w:rsidP="0051524D">
            <w:pPr>
              <w:spacing w:after="0" w:line="360" w:lineRule="auto"/>
              <w:ind w:right="-257"/>
              <w:rPr>
                <w:rFonts w:cs="Calibri"/>
                <w:bCs/>
                <w:color w:val="000000"/>
                <w:lang w:val="en-US"/>
              </w:rPr>
            </w:pPr>
            <w:r w:rsidRPr="00907794">
              <w:rPr>
                <w:lang w:val="en-US"/>
              </w:rPr>
              <w:t>Social dimension</w:t>
            </w:r>
            <w:r>
              <w:rPr>
                <w:lang w:val="en-US"/>
              </w:rPr>
              <w:t xml:space="preserve"> within a quality oriented HE system</w:t>
            </w:r>
          </w:p>
        </w:tc>
      </w:tr>
      <w:tr w:rsidR="00EE7335" w:rsidRPr="00907794" w14:paraId="697C78DB" w14:textId="77777777" w:rsidTr="0051524D">
        <w:tc>
          <w:tcPr>
            <w:tcW w:w="1014" w:type="dxa"/>
            <w:shd w:val="clear" w:color="auto" w:fill="auto"/>
            <w:vAlign w:val="center"/>
          </w:tcPr>
          <w:p w14:paraId="2E244A1F" w14:textId="58D2B04D" w:rsidR="00EE7335" w:rsidRPr="00907794" w:rsidRDefault="002744A0" w:rsidP="0051524D">
            <w:pPr>
              <w:spacing w:after="0" w:line="360" w:lineRule="auto"/>
              <w:ind w:right="-257"/>
              <w:jc w:val="center"/>
              <w:rPr>
                <w:rFonts w:cs="Calibri"/>
                <w:bCs/>
                <w:color w:val="000000"/>
                <w:lang w:val="en-US"/>
              </w:rPr>
            </w:pPr>
            <w:r w:rsidRPr="00907794">
              <w:rPr>
                <w:rFonts w:cs="Calibri"/>
                <w:bCs/>
                <w:color w:val="000000"/>
                <w:lang w:val="en-US"/>
              </w:rPr>
              <w:t>3</w:t>
            </w:r>
          </w:p>
        </w:tc>
        <w:tc>
          <w:tcPr>
            <w:tcW w:w="2525" w:type="dxa"/>
            <w:shd w:val="clear" w:color="auto" w:fill="auto"/>
            <w:vAlign w:val="center"/>
          </w:tcPr>
          <w:p w14:paraId="413C4EE5" w14:textId="0DDDB115" w:rsidR="00EE7335" w:rsidRPr="00907794" w:rsidRDefault="00EE7335" w:rsidP="0051524D">
            <w:pPr>
              <w:spacing w:after="0" w:line="360" w:lineRule="auto"/>
              <w:ind w:right="-257"/>
              <w:rPr>
                <w:rFonts w:cs="Calibri"/>
                <w:bCs/>
                <w:color w:val="000000"/>
                <w:lang w:val="en-US"/>
              </w:rPr>
            </w:pPr>
            <w:r w:rsidRPr="00907794">
              <w:rPr>
                <w:rFonts w:cs="Calibri"/>
                <w:bCs/>
                <w:color w:val="000000"/>
                <w:lang w:val="en-US"/>
              </w:rPr>
              <w:t>Sjur Bergan</w:t>
            </w:r>
            <w:r w:rsidR="00916139">
              <w:rPr>
                <w:rFonts w:cs="Calibri"/>
                <w:bCs/>
                <w:color w:val="000000"/>
                <w:lang w:val="en-US"/>
              </w:rPr>
              <w:t xml:space="preserve"> </w:t>
            </w:r>
          </w:p>
        </w:tc>
        <w:tc>
          <w:tcPr>
            <w:tcW w:w="5528" w:type="dxa"/>
            <w:shd w:val="clear" w:color="auto" w:fill="auto"/>
            <w:vAlign w:val="center"/>
          </w:tcPr>
          <w:p w14:paraId="41AB738B" w14:textId="0F53896D" w:rsidR="00EE7335" w:rsidRPr="00907794" w:rsidRDefault="00337289" w:rsidP="0051524D">
            <w:pPr>
              <w:spacing w:after="0" w:line="360" w:lineRule="auto"/>
              <w:ind w:right="-257"/>
              <w:rPr>
                <w:rFonts w:cs="Calibri"/>
                <w:bCs/>
                <w:color w:val="000000"/>
                <w:lang w:val="en-US"/>
              </w:rPr>
            </w:pPr>
            <w:r w:rsidRPr="00337289">
              <w:rPr>
                <w:rFonts w:cs="Calibri"/>
                <w:bCs/>
                <w:color w:val="000000"/>
                <w:lang w:val="en-US"/>
              </w:rPr>
              <w:t>Twenty years of Bologna and a decade of EHEA: what’s next?</w:t>
            </w:r>
          </w:p>
        </w:tc>
      </w:tr>
      <w:tr w:rsidR="00EE7335" w:rsidRPr="00907794" w14:paraId="6F6D3E40" w14:textId="77777777" w:rsidTr="0051524D">
        <w:trPr>
          <w:trHeight w:val="308"/>
        </w:trPr>
        <w:tc>
          <w:tcPr>
            <w:tcW w:w="1014" w:type="dxa"/>
            <w:shd w:val="clear" w:color="auto" w:fill="auto"/>
            <w:vAlign w:val="center"/>
          </w:tcPr>
          <w:p w14:paraId="67354FD5" w14:textId="2F7CF18A" w:rsidR="00EE7335" w:rsidRPr="00907794" w:rsidRDefault="002744A0" w:rsidP="0051524D">
            <w:pPr>
              <w:spacing w:after="0" w:line="360" w:lineRule="auto"/>
              <w:ind w:right="-257"/>
              <w:jc w:val="center"/>
              <w:rPr>
                <w:rFonts w:cs="Calibri"/>
                <w:bCs/>
                <w:color w:val="000000"/>
                <w:lang w:val="en-US"/>
              </w:rPr>
            </w:pPr>
            <w:r w:rsidRPr="00907794">
              <w:rPr>
                <w:rFonts w:cs="Calibri"/>
                <w:bCs/>
                <w:color w:val="000000"/>
                <w:lang w:val="en-US"/>
              </w:rPr>
              <w:t>4</w:t>
            </w:r>
          </w:p>
        </w:tc>
        <w:tc>
          <w:tcPr>
            <w:tcW w:w="2525" w:type="dxa"/>
            <w:shd w:val="clear" w:color="auto" w:fill="auto"/>
            <w:vAlign w:val="center"/>
          </w:tcPr>
          <w:p w14:paraId="03449C43" w14:textId="0D08CD03" w:rsidR="00EE7335" w:rsidRPr="00907794" w:rsidRDefault="00AC02E1" w:rsidP="0051524D">
            <w:pPr>
              <w:spacing w:after="0" w:line="360" w:lineRule="auto"/>
              <w:ind w:right="-257"/>
              <w:rPr>
                <w:rFonts w:cs="Calibri"/>
                <w:bCs/>
                <w:color w:val="000000"/>
                <w:lang w:val="en-US"/>
              </w:rPr>
            </w:pPr>
            <w:r>
              <w:rPr>
                <w:rFonts w:cs="Calibri"/>
                <w:bCs/>
                <w:color w:val="000000"/>
                <w:lang w:val="en-US"/>
              </w:rPr>
              <w:t>Ellen Hazelkorn</w:t>
            </w:r>
          </w:p>
        </w:tc>
        <w:tc>
          <w:tcPr>
            <w:tcW w:w="5528" w:type="dxa"/>
            <w:shd w:val="clear" w:color="auto" w:fill="auto"/>
            <w:vAlign w:val="center"/>
          </w:tcPr>
          <w:p w14:paraId="7A2B6FCE" w14:textId="0129A41D" w:rsidR="00EE7335" w:rsidRPr="00907794" w:rsidRDefault="002744A0" w:rsidP="0051524D">
            <w:pPr>
              <w:tabs>
                <w:tab w:val="left" w:pos="1390"/>
              </w:tabs>
              <w:spacing w:after="0" w:line="360" w:lineRule="auto"/>
              <w:ind w:right="-257"/>
              <w:rPr>
                <w:rFonts w:cs="Calibri"/>
                <w:bCs/>
                <w:color w:val="000000"/>
                <w:lang w:val="en-US"/>
              </w:rPr>
            </w:pPr>
            <w:r w:rsidRPr="00907794">
              <w:rPr>
                <w:rFonts w:cs="Calibri"/>
                <w:bCs/>
                <w:color w:val="000000"/>
                <w:lang w:val="en-US"/>
              </w:rPr>
              <w:t>Transparency Tools</w:t>
            </w:r>
            <w:r w:rsidR="007C3E43">
              <w:rPr>
                <w:rFonts w:cs="Calibri"/>
                <w:bCs/>
                <w:color w:val="000000"/>
                <w:lang w:val="en-US"/>
              </w:rPr>
              <w:t xml:space="preserve"> – impact and future developments</w:t>
            </w:r>
          </w:p>
        </w:tc>
      </w:tr>
      <w:tr w:rsidR="002744A0" w:rsidRPr="00907794" w14:paraId="2E45F29B" w14:textId="77777777" w:rsidTr="0051524D">
        <w:tc>
          <w:tcPr>
            <w:tcW w:w="1014" w:type="dxa"/>
            <w:shd w:val="clear" w:color="auto" w:fill="auto"/>
            <w:vAlign w:val="center"/>
          </w:tcPr>
          <w:p w14:paraId="02BC741C" w14:textId="53E3E137" w:rsidR="002744A0" w:rsidRPr="00907794" w:rsidRDefault="002744A0" w:rsidP="0051524D">
            <w:pPr>
              <w:spacing w:after="0" w:line="360" w:lineRule="auto"/>
              <w:ind w:right="-257"/>
              <w:jc w:val="center"/>
              <w:rPr>
                <w:rFonts w:cs="Calibri"/>
                <w:bCs/>
                <w:color w:val="000000"/>
                <w:lang w:val="en-US"/>
              </w:rPr>
            </w:pPr>
            <w:r w:rsidRPr="00907794">
              <w:rPr>
                <w:rFonts w:cs="Calibri"/>
                <w:bCs/>
                <w:color w:val="000000"/>
                <w:lang w:val="en-US"/>
              </w:rPr>
              <w:t>5</w:t>
            </w:r>
          </w:p>
        </w:tc>
        <w:tc>
          <w:tcPr>
            <w:tcW w:w="2525" w:type="dxa"/>
            <w:shd w:val="clear" w:color="auto" w:fill="auto"/>
            <w:vAlign w:val="center"/>
          </w:tcPr>
          <w:p w14:paraId="12BF0754" w14:textId="69088B51" w:rsidR="002744A0" w:rsidRPr="00907794" w:rsidRDefault="002744A0" w:rsidP="0051524D">
            <w:pPr>
              <w:spacing w:after="0" w:line="360" w:lineRule="auto"/>
              <w:ind w:right="-257"/>
              <w:rPr>
                <w:rFonts w:cs="Calibri"/>
                <w:bCs/>
                <w:color w:val="000000"/>
                <w:lang w:val="en-US"/>
              </w:rPr>
            </w:pPr>
            <w:r w:rsidRPr="00907794">
              <w:rPr>
                <w:rFonts w:cs="Calibri"/>
                <w:bCs/>
                <w:color w:val="000000"/>
                <w:lang w:val="en-US"/>
              </w:rPr>
              <w:t>Liviu Matei</w:t>
            </w:r>
          </w:p>
        </w:tc>
        <w:tc>
          <w:tcPr>
            <w:tcW w:w="5528" w:type="dxa"/>
            <w:shd w:val="clear" w:color="auto" w:fill="auto"/>
            <w:vAlign w:val="center"/>
          </w:tcPr>
          <w:p w14:paraId="4588DAFD" w14:textId="112DA843" w:rsidR="002744A0" w:rsidRPr="00907794" w:rsidRDefault="003C50A4" w:rsidP="0051524D">
            <w:pPr>
              <w:tabs>
                <w:tab w:val="left" w:pos="1390"/>
              </w:tabs>
              <w:spacing w:after="0" w:line="360" w:lineRule="auto"/>
              <w:ind w:right="-257"/>
              <w:rPr>
                <w:rFonts w:cs="Calibri"/>
                <w:bCs/>
                <w:color w:val="000000"/>
                <w:lang w:val="en-US"/>
              </w:rPr>
            </w:pPr>
            <w:r w:rsidRPr="00907794">
              <w:rPr>
                <w:rFonts w:cs="Calibri"/>
                <w:bCs/>
                <w:color w:val="000000"/>
                <w:lang w:val="en-US"/>
              </w:rPr>
              <w:t xml:space="preserve">Financing and </w:t>
            </w:r>
            <w:r w:rsidR="002744A0" w:rsidRPr="00907794">
              <w:rPr>
                <w:rFonts w:cs="Calibri"/>
                <w:bCs/>
                <w:color w:val="000000"/>
                <w:lang w:val="en-US"/>
              </w:rPr>
              <w:t>Governance</w:t>
            </w:r>
          </w:p>
        </w:tc>
      </w:tr>
    </w:tbl>
    <w:p w14:paraId="1C212FAB" w14:textId="77777777" w:rsidR="0065320D" w:rsidRPr="00907794" w:rsidRDefault="0065320D" w:rsidP="00E91BF4">
      <w:pPr>
        <w:spacing w:after="0" w:line="240" w:lineRule="auto"/>
        <w:jc w:val="both"/>
        <w:rPr>
          <w:bCs/>
          <w:lang w:val="en-US"/>
        </w:rPr>
      </w:pPr>
    </w:p>
    <w:p w14:paraId="402E854F" w14:textId="6BCE82EF" w:rsidR="007874BE" w:rsidRPr="00907794" w:rsidRDefault="007874BE" w:rsidP="00E91BF4">
      <w:pPr>
        <w:spacing w:after="0" w:line="240" w:lineRule="auto"/>
        <w:jc w:val="both"/>
        <w:rPr>
          <w:bCs/>
          <w:lang w:val="en-US"/>
        </w:rPr>
      </w:pPr>
      <w:r w:rsidRPr="00907794">
        <w:rPr>
          <w:bCs/>
          <w:lang w:val="en-US"/>
        </w:rPr>
        <w:t xml:space="preserve">Each coordinator will invite researchers to draft articles and select the most relevant </w:t>
      </w:r>
      <w:r w:rsidR="00203214" w:rsidRPr="00907794">
        <w:rPr>
          <w:bCs/>
          <w:lang w:val="en-US"/>
        </w:rPr>
        <w:t>articles</w:t>
      </w:r>
      <w:r w:rsidRPr="00907794">
        <w:rPr>
          <w:bCs/>
          <w:lang w:val="en-US"/>
        </w:rPr>
        <w:t xml:space="preserve"> for participation in the conference. </w:t>
      </w:r>
      <w:r w:rsidR="00E91BF4" w:rsidRPr="00907794">
        <w:rPr>
          <w:bCs/>
          <w:lang w:val="en-US"/>
        </w:rPr>
        <w:t xml:space="preserve">For each BPRC </w:t>
      </w:r>
      <w:r w:rsidRPr="00907794">
        <w:rPr>
          <w:bCs/>
          <w:lang w:val="en-US"/>
        </w:rPr>
        <w:t xml:space="preserve">theme, the </w:t>
      </w:r>
      <w:r w:rsidR="00E91BF4" w:rsidRPr="00907794">
        <w:rPr>
          <w:bCs/>
          <w:lang w:val="en-US"/>
        </w:rPr>
        <w:t>Editorial Board</w:t>
      </w:r>
      <w:r w:rsidRPr="00907794">
        <w:rPr>
          <w:bCs/>
          <w:lang w:val="en-US"/>
        </w:rPr>
        <w:t xml:space="preserve"> </w:t>
      </w:r>
      <w:r w:rsidR="00203214" w:rsidRPr="00907794">
        <w:rPr>
          <w:bCs/>
          <w:lang w:val="en-US"/>
        </w:rPr>
        <w:t xml:space="preserve">will select the relevant articles </w:t>
      </w:r>
      <w:r w:rsidRPr="00907794">
        <w:rPr>
          <w:bCs/>
          <w:lang w:val="en-US"/>
        </w:rPr>
        <w:t xml:space="preserve">for presentation during the conference. </w:t>
      </w:r>
      <w:r w:rsidR="00E91BF4" w:rsidRPr="00907794">
        <w:rPr>
          <w:bCs/>
          <w:lang w:val="en-US"/>
        </w:rPr>
        <w:t>F</w:t>
      </w:r>
      <w:r w:rsidRPr="00907794">
        <w:rPr>
          <w:bCs/>
          <w:lang w:val="en-US"/>
        </w:rPr>
        <w:t>ollowing an extensive peer-reviewing exercise</w:t>
      </w:r>
      <w:r w:rsidR="00E91BF4" w:rsidRPr="00907794">
        <w:rPr>
          <w:bCs/>
          <w:lang w:val="en-US"/>
        </w:rPr>
        <w:t>, these final</w:t>
      </w:r>
      <w:r w:rsidRPr="00907794">
        <w:rPr>
          <w:bCs/>
          <w:lang w:val="en-US"/>
        </w:rPr>
        <w:t xml:space="preserve"> papers </w:t>
      </w:r>
      <w:r w:rsidR="00E91BF4" w:rsidRPr="00907794">
        <w:rPr>
          <w:bCs/>
          <w:lang w:val="en-US"/>
        </w:rPr>
        <w:t>will</w:t>
      </w:r>
      <w:r w:rsidRPr="00907794">
        <w:rPr>
          <w:bCs/>
          <w:lang w:val="en-US"/>
        </w:rPr>
        <w:t xml:space="preserve"> be included in the </w:t>
      </w:r>
      <w:r w:rsidR="00411A31" w:rsidRPr="00907794">
        <w:rPr>
          <w:bCs/>
          <w:lang w:val="en-US"/>
        </w:rPr>
        <w:t>outcome</w:t>
      </w:r>
      <w:r w:rsidRPr="00907794">
        <w:rPr>
          <w:bCs/>
          <w:lang w:val="en-US"/>
        </w:rPr>
        <w:t xml:space="preserve"> of </w:t>
      </w:r>
      <w:r w:rsidR="00C12BC4" w:rsidRPr="00907794">
        <w:rPr>
          <w:bCs/>
          <w:lang w:val="en-US"/>
        </w:rPr>
        <w:t>proceeding</w:t>
      </w:r>
      <w:r w:rsidRPr="00907794">
        <w:rPr>
          <w:bCs/>
          <w:i/>
          <w:lang w:val="en-US"/>
        </w:rPr>
        <w:t>s</w:t>
      </w:r>
      <w:r w:rsidRPr="00907794">
        <w:rPr>
          <w:bCs/>
          <w:lang w:val="en-US"/>
        </w:rPr>
        <w:t>.</w:t>
      </w:r>
    </w:p>
    <w:p w14:paraId="53BCFC41" w14:textId="77777777" w:rsidR="004F1FF5" w:rsidRPr="00907794" w:rsidRDefault="004F1FF5" w:rsidP="00E91BF4">
      <w:pPr>
        <w:spacing w:after="0" w:line="240" w:lineRule="auto"/>
        <w:jc w:val="both"/>
        <w:rPr>
          <w:bCs/>
          <w:lang w:val="en-US"/>
        </w:rPr>
      </w:pPr>
    </w:p>
    <w:p w14:paraId="142635F6" w14:textId="77777777" w:rsidR="004F1FF5" w:rsidRPr="00907794" w:rsidRDefault="004F1FF5" w:rsidP="00FC6820">
      <w:pPr>
        <w:pStyle w:val="Heading2"/>
      </w:pPr>
      <w:r w:rsidRPr="00907794">
        <w:t xml:space="preserve">The General Rapporteur </w:t>
      </w:r>
    </w:p>
    <w:p w14:paraId="1D1B434B" w14:textId="77777777" w:rsidR="00C940B4" w:rsidRDefault="00C940B4" w:rsidP="004F1FF5">
      <w:pPr>
        <w:spacing w:after="0" w:line="240" w:lineRule="auto"/>
        <w:jc w:val="both"/>
        <w:rPr>
          <w:rFonts w:eastAsia="Times New Roman"/>
          <w:color w:val="000000"/>
          <w:lang w:val="en-US"/>
        </w:rPr>
      </w:pPr>
    </w:p>
    <w:p w14:paraId="051180C3" w14:textId="77777777" w:rsidR="00EE7335" w:rsidRPr="00907794" w:rsidRDefault="00EE7335" w:rsidP="004F1FF5">
      <w:pPr>
        <w:spacing w:after="0" w:line="240" w:lineRule="auto"/>
        <w:jc w:val="both"/>
        <w:rPr>
          <w:rFonts w:eastAsia="Times New Roman"/>
          <w:color w:val="000000"/>
          <w:lang w:val="en-US"/>
        </w:rPr>
      </w:pPr>
      <w:r w:rsidRPr="00907794">
        <w:rPr>
          <w:rFonts w:eastAsia="Times New Roman"/>
          <w:color w:val="000000"/>
          <w:lang w:val="en-US"/>
        </w:rPr>
        <w:t>The General Rapporteur will support the activities of the Editorial Board and thematic coordinators, will elaborate the conference report and convey the overall conclusions to the 2018 EHEA Ministerial Conference.</w:t>
      </w:r>
    </w:p>
    <w:p w14:paraId="77781D84" w14:textId="77777777" w:rsidR="00E9155B" w:rsidRDefault="00E9155B" w:rsidP="004F1FF5">
      <w:pPr>
        <w:spacing w:after="0" w:line="240" w:lineRule="auto"/>
        <w:jc w:val="both"/>
        <w:rPr>
          <w:lang w:val="en-US"/>
        </w:rPr>
      </w:pPr>
    </w:p>
    <w:p w14:paraId="18F0EADF" w14:textId="75F39801" w:rsidR="00BD25E6" w:rsidRPr="00907794" w:rsidRDefault="004F1FF5" w:rsidP="004F1FF5">
      <w:pPr>
        <w:spacing w:after="0" w:line="240" w:lineRule="auto"/>
        <w:jc w:val="both"/>
        <w:rPr>
          <w:lang w:val="en-US"/>
        </w:rPr>
      </w:pPr>
      <w:r w:rsidRPr="00E4611B">
        <w:rPr>
          <w:lang w:val="en-US"/>
        </w:rPr>
        <w:t xml:space="preserve">The General </w:t>
      </w:r>
      <w:r w:rsidR="00203214" w:rsidRPr="00E4611B">
        <w:rPr>
          <w:lang w:val="en-US"/>
        </w:rPr>
        <w:t>Rapporteur</w:t>
      </w:r>
      <w:r w:rsidRPr="00E4611B">
        <w:rPr>
          <w:lang w:val="en-US"/>
        </w:rPr>
        <w:t xml:space="preserve"> of the FOHE-BPRC </w:t>
      </w:r>
      <w:r w:rsidR="009A21DC">
        <w:rPr>
          <w:lang w:val="en-US"/>
        </w:rPr>
        <w:t xml:space="preserve">– to be </w:t>
      </w:r>
      <w:r w:rsidR="00C940B4">
        <w:rPr>
          <w:lang w:val="en-US"/>
        </w:rPr>
        <w:t>confirmed</w:t>
      </w:r>
      <w:r w:rsidR="009A21DC">
        <w:rPr>
          <w:lang w:val="en-US"/>
        </w:rPr>
        <w:t>.</w:t>
      </w:r>
    </w:p>
    <w:p w14:paraId="6D6F31F1" w14:textId="77777777" w:rsidR="004F1FF5" w:rsidRPr="00907794" w:rsidRDefault="004F1FF5" w:rsidP="00E91BF4">
      <w:pPr>
        <w:spacing w:after="0" w:line="240" w:lineRule="auto"/>
        <w:jc w:val="both"/>
        <w:rPr>
          <w:bCs/>
          <w:lang w:val="en-US"/>
        </w:rPr>
      </w:pPr>
    </w:p>
    <w:p w14:paraId="5DDBEEF3" w14:textId="77777777" w:rsidR="00E91BF4" w:rsidRPr="00907794" w:rsidRDefault="00E91BF4" w:rsidP="00E91BF4">
      <w:pPr>
        <w:spacing w:after="0" w:line="240" w:lineRule="auto"/>
        <w:rPr>
          <w:b/>
          <w:bCs/>
          <w:lang w:val="en-US"/>
        </w:rPr>
      </w:pPr>
    </w:p>
    <w:p w14:paraId="596AB89E" w14:textId="65774B89" w:rsidR="000A5EAE" w:rsidRPr="0080726E" w:rsidRDefault="00193859" w:rsidP="00FC6820">
      <w:pPr>
        <w:pStyle w:val="Heading1"/>
        <w:rPr>
          <w:b w:val="0"/>
          <w:bCs w:val="0"/>
          <w:sz w:val="28"/>
          <w:szCs w:val="28"/>
        </w:rPr>
      </w:pPr>
      <w:r w:rsidRPr="0080726E">
        <w:rPr>
          <w:sz w:val="28"/>
          <w:szCs w:val="28"/>
        </w:rPr>
        <w:t>T</w:t>
      </w:r>
      <w:r w:rsidR="000A5EAE" w:rsidRPr="0080726E">
        <w:rPr>
          <w:sz w:val="28"/>
          <w:szCs w:val="28"/>
        </w:rPr>
        <w:t>imeline</w:t>
      </w:r>
      <w:r w:rsidRPr="0080726E">
        <w:rPr>
          <w:sz w:val="28"/>
          <w:szCs w:val="28"/>
        </w:rPr>
        <w:t xml:space="preserve"> for the papers</w:t>
      </w:r>
    </w:p>
    <w:p w14:paraId="69452974" w14:textId="77777777" w:rsidR="0080726E" w:rsidRDefault="0080726E" w:rsidP="00E91BF4">
      <w:pPr>
        <w:spacing w:after="0" w:line="240" w:lineRule="auto"/>
        <w:rPr>
          <w:lang w:val="en-US"/>
        </w:rPr>
      </w:pPr>
    </w:p>
    <w:p w14:paraId="2AEA8E9E" w14:textId="7ED6377E" w:rsidR="00FF51D7" w:rsidRPr="00907794" w:rsidRDefault="000B04EC" w:rsidP="00E91BF4">
      <w:pPr>
        <w:spacing w:after="0" w:line="240" w:lineRule="auto"/>
        <w:rPr>
          <w:lang w:val="en-US"/>
        </w:rPr>
      </w:pPr>
      <w:r w:rsidRPr="00907794">
        <w:rPr>
          <w:lang w:val="en-US"/>
        </w:rPr>
        <w:t xml:space="preserve">The </w:t>
      </w:r>
      <w:r w:rsidR="005E64C6" w:rsidRPr="00907794">
        <w:rPr>
          <w:lang w:val="en-US"/>
        </w:rPr>
        <w:t xml:space="preserve">following </w:t>
      </w:r>
      <w:r w:rsidR="0036133E" w:rsidRPr="00907794">
        <w:rPr>
          <w:lang w:val="en-US"/>
        </w:rPr>
        <w:t>organizational</w:t>
      </w:r>
      <w:r w:rsidR="00B22531" w:rsidRPr="00907794">
        <w:rPr>
          <w:lang w:val="en-US"/>
        </w:rPr>
        <w:t xml:space="preserve"> and editorial </w:t>
      </w:r>
      <w:r w:rsidR="005E64C6" w:rsidRPr="00907794">
        <w:rPr>
          <w:lang w:val="en-US"/>
        </w:rPr>
        <w:t xml:space="preserve">schedule has been proposed by the </w:t>
      </w:r>
      <w:r w:rsidR="0036133E" w:rsidRPr="00907794">
        <w:rPr>
          <w:lang w:val="en-US"/>
        </w:rPr>
        <w:t>organizers</w:t>
      </w:r>
      <w:r w:rsidR="005E64C6" w:rsidRPr="00907794">
        <w:rPr>
          <w:lang w:val="en-US"/>
        </w:rPr>
        <w:t>:</w:t>
      </w:r>
    </w:p>
    <w:p w14:paraId="036E0A36" w14:textId="77777777" w:rsidR="00E91BF4" w:rsidRPr="00907794" w:rsidRDefault="00E91BF4" w:rsidP="00E91BF4">
      <w:pPr>
        <w:spacing w:after="0" w:line="240" w:lineRule="auto"/>
        <w:jc w:val="both"/>
        <w:rPr>
          <w:b/>
          <w:bCs/>
          <w:lang w:val="en-US"/>
        </w:rPr>
      </w:pPr>
    </w:p>
    <w:p w14:paraId="2F8A5FAF" w14:textId="710E5B7F" w:rsidR="007874BE" w:rsidRPr="00907794" w:rsidRDefault="00C940B4" w:rsidP="00E91BF4">
      <w:pPr>
        <w:spacing w:after="0" w:line="240" w:lineRule="auto"/>
        <w:jc w:val="both"/>
        <w:rPr>
          <w:b/>
          <w:bCs/>
          <w:lang w:val="en-US"/>
        </w:rPr>
      </w:pPr>
      <w:r>
        <w:rPr>
          <w:b/>
          <w:bCs/>
          <w:lang w:val="en-US"/>
        </w:rPr>
        <w:t>21</w:t>
      </w:r>
      <w:r w:rsidR="007874BE" w:rsidRPr="00907794">
        <w:rPr>
          <w:b/>
          <w:lang w:val="en-US"/>
        </w:rPr>
        <w:t xml:space="preserve"> June 201</w:t>
      </w:r>
      <w:r w:rsidR="00116596" w:rsidRPr="00907794">
        <w:rPr>
          <w:b/>
          <w:lang w:val="en-US"/>
        </w:rPr>
        <w:t>7</w:t>
      </w:r>
      <w:r w:rsidR="007874BE" w:rsidRPr="00907794">
        <w:rPr>
          <w:b/>
          <w:lang w:val="en-US"/>
        </w:rPr>
        <w:t>: publishing the call for papers and providing the guidelines for authors</w:t>
      </w:r>
    </w:p>
    <w:p w14:paraId="6A857A8A" w14:textId="77777777" w:rsidR="007874BE" w:rsidRPr="00907794" w:rsidRDefault="007874BE" w:rsidP="00E91BF4">
      <w:pPr>
        <w:spacing w:after="0" w:line="240" w:lineRule="auto"/>
        <w:jc w:val="both"/>
        <w:rPr>
          <w:b/>
          <w:bCs/>
          <w:lang w:val="en-US"/>
        </w:rPr>
      </w:pPr>
    </w:p>
    <w:p w14:paraId="1DBAE24B" w14:textId="559516A1" w:rsidR="007874BE" w:rsidRDefault="00C940B4" w:rsidP="00E91BF4">
      <w:pPr>
        <w:spacing w:after="0" w:line="240" w:lineRule="auto"/>
        <w:jc w:val="both"/>
        <w:rPr>
          <w:b/>
          <w:bCs/>
          <w:lang w:val="en-US"/>
        </w:rPr>
      </w:pPr>
      <w:r>
        <w:rPr>
          <w:b/>
          <w:bCs/>
          <w:lang w:val="en-US"/>
        </w:rPr>
        <w:t>21</w:t>
      </w:r>
      <w:r w:rsidR="00116596" w:rsidRPr="00907794">
        <w:rPr>
          <w:b/>
          <w:bCs/>
          <w:lang w:val="en-US"/>
        </w:rPr>
        <w:t xml:space="preserve"> June – 2</w:t>
      </w:r>
      <w:r>
        <w:rPr>
          <w:b/>
          <w:bCs/>
          <w:lang w:val="en-US"/>
        </w:rPr>
        <w:t>8</w:t>
      </w:r>
      <w:r w:rsidR="007874BE" w:rsidRPr="00907794">
        <w:rPr>
          <w:b/>
          <w:bCs/>
          <w:lang w:val="en-US"/>
        </w:rPr>
        <w:t xml:space="preserve"> July 201</w:t>
      </w:r>
      <w:r w:rsidR="00116596" w:rsidRPr="00907794">
        <w:rPr>
          <w:b/>
          <w:bCs/>
          <w:lang w:val="en-US"/>
        </w:rPr>
        <w:t>7</w:t>
      </w:r>
      <w:r w:rsidR="007874BE" w:rsidRPr="00907794">
        <w:rPr>
          <w:b/>
          <w:bCs/>
          <w:lang w:val="en-US"/>
        </w:rPr>
        <w:t>: deadline for registering the paper abstracts</w:t>
      </w:r>
    </w:p>
    <w:p w14:paraId="2FF2F00B" w14:textId="77777777" w:rsidR="00C940B4" w:rsidRPr="00907794" w:rsidRDefault="00C940B4" w:rsidP="00E91BF4">
      <w:pPr>
        <w:spacing w:after="0" w:line="240" w:lineRule="auto"/>
        <w:jc w:val="both"/>
        <w:rPr>
          <w:b/>
          <w:bCs/>
          <w:lang w:val="en-US"/>
        </w:rPr>
      </w:pPr>
    </w:p>
    <w:p w14:paraId="258808C7" w14:textId="77777777" w:rsidR="007874BE" w:rsidRPr="00907794" w:rsidRDefault="007874BE" w:rsidP="00E91BF4">
      <w:pPr>
        <w:spacing w:after="0" w:line="240" w:lineRule="auto"/>
        <w:jc w:val="both"/>
        <w:rPr>
          <w:bCs/>
          <w:i/>
          <w:u w:val="single"/>
          <w:lang w:val="en-US"/>
        </w:rPr>
      </w:pPr>
      <w:r w:rsidRPr="00907794">
        <w:rPr>
          <w:bCs/>
          <w:i/>
          <w:u w:val="single"/>
          <w:lang w:val="en-US"/>
        </w:rPr>
        <w:lastRenderedPageBreak/>
        <w:t>The paper abstracts should be sent via e-mail by the researchers</w:t>
      </w:r>
      <w:r w:rsidR="004811B1" w:rsidRPr="00907794">
        <w:rPr>
          <w:bCs/>
          <w:i/>
          <w:u w:val="single"/>
          <w:lang w:val="en-US"/>
        </w:rPr>
        <w:t xml:space="preserve"> to</w:t>
      </w:r>
      <w:r w:rsidR="0019791F" w:rsidRPr="00907794">
        <w:rPr>
          <w:bCs/>
          <w:i/>
          <w:u w:val="single"/>
          <w:lang w:val="en-US"/>
        </w:rPr>
        <w:t xml:space="preserve"> </w:t>
      </w:r>
      <w:hyperlink r:id="rId10" w:history="1">
        <w:r w:rsidR="00B22531" w:rsidRPr="00907794">
          <w:rPr>
            <w:rStyle w:val="Hyperlink"/>
            <w:bCs/>
            <w:i/>
            <w:lang w:val="en-US"/>
          </w:rPr>
          <w:t>fohe@uefiscdi.ro</w:t>
        </w:r>
      </w:hyperlink>
      <w:r w:rsidR="00B22531" w:rsidRPr="00907794">
        <w:rPr>
          <w:bCs/>
          <w:i/>
          <w:u w:val="single"/>
          <w:lang w:val="en-US"/>
        </w:rPr>
        <w:t xml:space="preserve">. </w:t>
      </w:r>
      <w:r w:rsidR="0019791F" w:rsidRPr="00907794">
        <w:rPr>
          <w:bCs/>
          <w:i/>
          <w:u w:val="single"/>
          <w:lang w:val="en-US"/>
        </w:rPr>
        <w:t xml:space="preserve"> </w:t>
      </w:r>
    </w:p>
    <w:p w14:paraId="6EC5703D" w14:textId="77777777" w:rsidR="007874BE" w:rsidRPr="00907794" w:rsidRDefault="007874BE" w:rsidP="00E91BF4">
      <w:pPr>
        <w:spacing w:after="0" w:line="240" w:lineRule="auto"/>
        <w:jc w:val="both"/>
        <w:rPr>
          <w:bCs/>
          <w:i/>
          <w:u w:val="single"/>
          <w:lang w:val="en-US"/>
        </w:rPr>
      </w:pPr>
    </w:p>
    <w:p w14:paraId="276FCBF9" w14:textId="0FAC79F1" w:rsidR="00CD0866" w:rsidRPr="00907794" w:rsidRDefault="00116596" w:rsidP="00E91BF4">
      <w:pPr>
        <w:spacing w:after="0" w:line="240" w:lineRule="auto"/>
        <w:jc w:val="both"/>
        <w:rPr>
          <w:b/>
          <w:bCs/>
          <w:lang w:val="en-US"/>
        </w:rPr>
      </w:pPr>
      <w:r w:rsidRPr="00907794">
        <w:rPr>
          <w:b/>
          <w:bCs/>
          <w:lang w:val="en-US"/>
        </w:rPr>
        <w:t>2</w:t>
      </w:r>
      <w:r w:rsidR="00C940B4">
        <w:rPr>
          <w:b/>
          <w:bCs/>
          <w:lang w:val="en-US"/>
        </w:rPr>
        <w:t>8</w:t>
      </w:r>
      <w:r w:rsidR="00AE3F1A" w:rsidRPr="00907794">
        <w:rPr>
          <w:b/>
          <w:bCs/>
          <w:lang w:val="en-US"/>
        </w:rPr>
        <w:t xml:space="preserve"> Ju</w:t>
      </w:r>
      <w:r w:rsidR="00645D4A" w:rsidRPr="00907794">
        <w:rPr>
          <w:b/>
          <w:bCs/>
          <w:lang w:val="en-US"/>
        </w:rPr>
        <w:t>ly</w:t>
      </w:r>
      <w:r w:rsidR="0007340A" w:rsidRPr="00907794">
        <w:rPr>
          <w:b/>
          <w:bCs/>
          <w:lang w:val="en-US"/>
        </w:rPr>
        <w:t xml:space="preserve"> – </w:t>
      </w:r>
      <w:r w:rsidR="00C940B4">
        <w:rPr>
          <w:b/>
          <w:bCs/>
          <w:lang w:val="en-US"/>
        </w:rPr>
        <w:t>2 August</w:t>
      </w:r>
      <w:r w:rsidR="0007340A" w:rsidRPr="00907794">
        <w:rPr>
          <w:b/>
          <w:bCs/>
          <w:lang w:val="en-US"/>
        </w:rPr>
        <w:t xml:space="preserve"> 201</w:t>
      </w:r>
      <w:r w:rsidRPr="00907794">
        <w:rPr>
          <w:b/>
          <w:bCs/>
          <w:lang w:val="en-US"/>
        </w:rPr>
        <w:t>7</w:t>
      </w:r>
      <w:r w:rsidR="0007340A" w:rsidRPr="00907794">
        <w:rPr>
          <w:b/>
          <w:bCs/>
          <w:lang w:val="en-US"/>
        </w:rPr>
        <w:t xml:space="preserve">: </w:t>
      </w:r>
      <w:r w:rsidR="00AE3F1A" w:rsidRPr="00907794">
        <w:rPr>
          <w:b/>
          <w:bCs/>
          <w:lang w:val="en-US"/>
        </w:rPr>
        <w:t xml:space="preserve">evaluation of abstracts: </w:t>
      </w:r>
      <w:r w:rsidR="0007340A" w:rsidRPr="00907794">
        <w:rPr>
          <w:bCs/>
          <w:i/>
          <w:lang w:val="en-US"/>
        </w:rPr>
        <w:t>The members of the Editorial Board</w:t>
      </w:r>
      <w:r w:rsidR="00AE3F1A" w:rsidRPr="00907794">
        <w:rPr>
          <w:bCs/>
          <w:i/>
          <w:lang w:val="en-US"/>
        </w:rPr>
        <w:t xml:space="preserve"> will carefully analy</w:t>
      </w:r>
      <w:r w:rsidRPr="00907794">
        <w:rPr>
          <w:bCs/>
          <w:i/>
          <w:lang w:val="en-US"/>
        </w:rPr>
        <w:t>z</w:t>
      </w:r>
      <w:r w:rsidR="00AE3F1A" w:rsidRPr="00907794">
        <w:rPr>
          <w:bCs/>
          <w:i/>
          <w:lang w:val="en-US"/>
        </w:rPr>
        <w:t>e the abstracts fitting the</w:t>
      </w:r>
      <w:r w:rsidR="0007340A" w:rsidRPr="00907794">
        <w:rPr>
          <w:bCs/>
          <w:i/>
          <w:lang w:val="en-US"/>
        </w:rPr>
        <w:t>m under the</w:t>
      </w:r>
      <w:r w:rsidR="00AE3F1A" w:rsidRPr="00907794">
        <w:rPr>
          <w:bCs/>
          <w:i/>
          <w:lang w:val="en-US"/>
        </w:rPr>
        <w:t xml:space="preserve"> specific sub-theme and provide suggestions</w:t>
      </w:r>
      <w:r w:rsidR="00B22531" w:rsidRPr="00907794">
        <w:rPr>
          <w:bCs/>
          <w:i/>
          <w:lang w:val="en-US"/>
        </w:rPr>
        <w:t xml:space="preserve"> for their development into full articles</w:t>
      </w:r>
      <w:r w:rsidR="00AE3F1A" w:rsidRPr="00907794">
        <w:rPr>
          <w:bCs/>
          <w:i/>
          <w:lang w:val="en-US"/>
        </w:rPr>
        <w:t xml:space="preserve">. </w:t>
      </w:r>
    </w:p>
    <w:p w14:paraId="06F0D405" w14:textId="77777777" w:rsidR="0007340A" w:rsidRPr="00907794" w:rsidRDefault="0007340A" w:rsidP="00E91BF4">
      <w:pPr>
        <w:spacing w:after="0" w:line="240" w:lineRule="auto"/>
        <w:jc w:val="both"/>
        <w:rPr>
          <w:b/>
          <w:bCs/>
          <w:lang w:val="en-US"/>
        </w:rPr>
      </w:pPr>
    </w:p>
    <w:p w14:paraId="60027F02" w14:textId="23E3BEE2" w:rsidR="00CD0866" w:rsidRPr="00907794" w:rsidRDefault="00C940B4" w:rsidP="00E91BF4">
      <w:pPr>
        <w:spacing w:after="0" w:line="240" w:lineRule="auto"/>
        <w:jc w:val="both"/>
        <w:rPr>
          <w:bCs/>
          <w:lang w:val="en-US"/>
        </w:rPr>
      </w:pPr>
      <w:r>
        <w:rPr>
          <w:b/>
          <w:bCs/>
          <w:lang w:val="en-US"/>
        </w:rPr>
        <w:t>3</w:t>
      </w:r>
      <w:r w:rsidR="0007340A" w:rsidRPr="00907794">
        <w:rPr>
          <w:b/>
          <w:bCs/>
          <w:lang w:val="en-US"/>
        </w:rPr>
        <w:t xml:space="preserve"> August</w:t>
      </w:r>
      <w:r w:rsidR="00AE3F1A" w:rsidRPr="00907794">
        <w:rPr>
          <w:b/>
          <w:bCs/>
          <w:lang w:val="en-US"/>
        </w:rPr>
        <w:t xml:space="preserve"> </w:t>
      </w:r>
      <w:r w:rsidR="0007340A" w:rsidRPr="00907794">
        <w:rPr>
          <w:b/>
          <w:bCs/>
          <w:lang w:val="en-US"/>
        </w:rPr>
        <w:t>201</w:t>
      </w:r>
      <w:r w:rsidR="00116596" w:rsidRPr="00907794">
        <w:rPr>
          <w:b/>
          <w:bCs/>
          <w:lang w:val="en-US"/>
        </w:rPr>
        <w:t>7</w:t>
      </w:r>
      <w:r w:rsidR="00AE3F1A" w:rsidRPr="00907794">
        <w:rPr>
          <w:b/>
          <w:bCs/>
          <w:lang w:val="en-US"/>
        </w:rPr>
        <w:t xml:space="preserve"> – </w:t>
      </w:r>
      <w:r>
        <w:rPr>
          <w:b/>
          <w:bCs/>
          <w:lang w:val="en-US"/>
        </w:rPr>
        <w:t>20</w:t>
      </w:r>
      <w:r w:rsidR="0007340A" w:rsidRPr="00907794">
        <w:rPr>
          <w:b/>
          <w:bCs/>
          <w:lang w:val="en-US"/>
        </w:rPr>
        <w:t xml:space="preserve"> September 201</w:t>
      </w:r>
      <w:r w:rsidR="00116596" w:rsidRPr="00907794">
        <w:rPr>
          <w:b/>
          <w:bCs/>
          <w:lang w:val="en-US"/>
        </w:rPr>
        <w:t>7</w:t>
      </w:r>
      <w:r w:rsidR="0007340A" w:rsidRPr="00907794">
        <w:rPr>
          <w:b/>
          <w:bCs/>
          <w:lang w:val="en-US"/>
        </w:rPr>
        <w:t>:</w:t>
      </w:r>
      <w:r w:rsidR="00AE3F1A" w:rsidRPr="00907794">
        <w:rPr>
          <w:b/>
          <w:bCs/>
          <w:lang w:val="en-US"/>
        </w:rPr>
        <w:t xml:space="preserve"> drafting the research paper: </w:t>
      </w:r>
      <w:r w:rsidR="00AE3F1A" w:rsidRPr="00907794">
        <w:rPr>
          <w:bCs/>
          <w:i/>
          <w:lang w:val="en-US"/>
        </w:rPr>
        <w:t xml:space="preserve">The authors will be asked to </w:t>
      </w:r>
      <w:r w:rsidR="00116596" w:rsidRPr="00907794">
        <w:rPr>
          <w:bCs/>
          <w:i/>
          <w:lang w:val="en-US"/>
        </w:rPr>
        <w:t>finalize</w:t>
      </w:r>
      <w:r w:rsidR="00AE3F1A" w:rsidRPr="00907794">
        <w:rPr>
          <w:bCs/>
          <w:i/>
          <w:lang w:val="en-US"/>
        </w:rPr>
        <w:t xml:space="preserve"> the papers in question, while taking into account the possible recommendations coming from the thematic coordinators.</w:t>
      </w:r>
      <w:r w:rsidR="0007340A" w:rsidRPr="00907794">
        <w:rPr>
          <w:bCs/>
          <w:i/>
          <w:lang w:val="en-US"/>
        </w:rPr>
        <w:t xml:space="preserve"> The authors will send their papers to the organizers, via e-mail </w:t>
      </w:r>
      <w:r w:rsidR="00116596" w:rsidRPr="00907794">
        <w:rPr>
          <w:b/>
          <w:bCs/>
          <w:i/>
          <w:lang w:val="en-US"/>
        </w:rPr>
        <w:t xml:space="preserve">until </w:t>
      </w:r>
      <w:r>
        <w:rPr>
          <w:b/>
          <w:bCs/>
          <w:i/>
          <w:lang w:val="en-US"/>
        </w:rPr>
        <w:t>20</w:t>
      </w:r>
      <w:r w:rsidR="0007340A" w:rsidRPr="00907794">
        <w:rPr>
          <w:b/>
          <w:bCs/>
          <w:i/>
          <w:lang w:val="en-US"/>
        </w:rPr>
        <w:t xml:space="preserve"> September 201</w:t>
      </w:r>
      <w:r w:rsidR="00116596" w:rsidRPr="00907794">
        <w:rPr>
          <w:b/>
          <w:bCs/>
          <w:i/>
          <w:lang w:val="en-US"/>
        </w:rPr>
        <w:t>7</w:t>
      </w:r>
      <w:r w:rsidR="0007340A" w:rsidRPr="00907794">
        <w:rPr>
          <w:b/>
          <w:bCs/>
          <w:i/>
          <w:lang w:val="en-US"/>
        </w:rPr>
        <w:t>.</w:t>
      </w:r>
      <w:r w:rsidR="00B22531" w:rsidRPr="00907794">
        <w:rPr>
          <w:b/>
          <w:bCs/>
          <w:i/>
          <w:lang w:val="en-US"/>
        </w:rPr>
        <w:t xml:space="preserve"> </w:t>
      </w:r>
      <w:r w:rsidR="00B22531" w:rsidRPr="00907794">
        <w:rPr>
          <w:bCs/>
          <w:i/>
          <w:lang w:val="en-US"/>
        </w:rPr>
        <w:t xml:space="preserve">Specific guidelines for authors will be provided by the </w:t>
      </w:r>
      <w:r w:rsidR="00116596" w:rsidRPr="00907794">
        <w:rPr>
          <w:bCs/>
          <w:i/>
          <w:lang w:val="en-US"/>
        </w:rPr>
        <w:t>organizers</w:t>
      </w:r>
      <w:r w:rsidR="00B22531" w:rsidRPr="00907794">
        <w:rPr>
          <w:bCs/>
          <w:i/>
          <w:lang w:val="en-US"/>
        </w:rPr>
        <w:t>.</w:t>
      </w:r>
    </w:p>
    <w:p w14:paraId="5ACF5C99" w14:textId="77777777" w:rsidR="0007340A" w:rsidRPr="00907794" w:rsidRDefault="0007340A" w:rsidP="00E91BF4">
      <w:pPr>
        <w:spacing w:after="0" w:line="240" w:lineRule="auto"/>
        <w:jc w:val="both"/>
        <w:rPr>
          <w:b/>
          <w:bCs/>
          <w:lang w:val="en-US"/>
        </w:rPr>
      </w:pPr>
    </w:p>
    <w:p w14:paraId="6020307F" w14:textId="092047E4" w:rsidR="00CD0866" w:rsidRPr="00907794" w:rsidRDefault="00C940B4" w:rsidP="00E91BF4">
      <w:pPr>
        <w:spacing w:after="0" w:line="240" w:lineRule="auto"/>
        <w:jc w:val="both"/>
        <w:rPr>
          <w:bCs/>
          <w:i/>
          <w:lang w:val="en-US"/>
        </w:rPr>
      </w:pPr>
      <w:r>
        <w:rPr>
          <w:b/>
          <w:bCs/>
          <w:lang w:val="en-US"/>
        </w:rPr>
        <w:t>21</w:t>
      </w:r>
      <w:r w:rsidR="00116596" w:rsidRPr="00907794">
        <w:rPr>
          <w:b/>
          <w:bCs/>
          <w:lang w:val="en-US"/>
        </w:rPr>
        <w:t xml:space="preserve"> September</w:t>
      </w:r>
      <w:r w:rsidR="00AE3F1A" w:rsidRPr="00907794">
        <w:rPr>
          <w:b/>
          <w:bCs/>
          <w:lang w:val="en-US"/>
        </w:rPr>
        <w:t xml:space="preserve"> – </w:t>
      </w:r>
      <w:r>
        <w:rPr>
          <w:b/>
          <w:bCs/>
          <w:lang w:val="en-US"/>
        </w:rPr>
        <w:t>20</w:t>
      </w:r>
      <w:r w:rsidR="0007340A" w:rsidRPr="00907794">
        <w:rPr>
          <w:b/>
          <w:bCs/>
          <w:lang w:val="en-US"/>
        </w:rPr>
        <w:t xml:space="preserve"> October 201</w:t>
      </w:r>
      <w:r w:rsidR="00116596" w:rsidRPr="00907794">
        <w:rPr>
          <w:b/>
          <w:bCs/>
          <w:lang w:val="en-US"/>
        </w:rPr>
        <w:t>7</w:t>
      </w:r>
      <w:r w:rsidR="0007340A" w:rsidRPr="00907794">
        <w:rPr>
          <w:b/>
          <w:bCs/>
          <w:lang w:val="en-US"/>
        </w:rPr>
        <w:t xml:space="preserve">: </w:t>
      </w:r>
      <w:r w:rsidR="00AE3F1A" w:rsidRPr="00907794">
        <w:rPr>
          <w:b/>
          <w:bCs/>
          <w:lang w:val="en-US"/>
        </w:rPr>
        <w:t xml:space="preserve">feedback on the received papers: </w:t>
      </w:r>
      <w:r w:rsidR="00AE3F1A" w:rsidRPr="00907794">
        <w:rPr>
          <w:bCs/>
          <w:i/>
          <w:lang w:val="en-US"/>
        </w:rPr>
        <w:t xml:space="preserve">The </w:t>
      </w:r>
      <w:r w:rsidR="0007340A" w:rsidRPr="00907794">
        <w:rPr>
          <w:bCs/>
          <w:i/>
          <w:lang w:val="en-US"/>
        </w:rPr>
        <w:t xml:space="preserve">Editorial Board will </w:t>
      </w:r>
      <w:r w:rsidR="00116596" w:rsidRPr="00907794">
        <w:rPr>
          <w:bCs/>
          <w:i/>
          <w:lang w:val="en-US"/>
        </w:rPr>
        <w:t>analyze</w:t>
      </w:r>
      <w:r w:rsidR="0007340A" w:rsidRPr="00907794">
        <w:rPr>
          <w:bCs/>
          <w:i/>
          <w:lang w:val="en-US"/>
        </w:rPr>
        <w:t xml:space="preserve"> the final papers (forwarded by the organizers) and </w:t>
      </w:r>
      <w:r w:rsidR="00AE3F1A" w:rsidRPr="00907794">
        <w:rPr>
          <w:bCs/>
          <w:i/>
          <w:lang w:val="en-US"/>
        </w:rPr>
        <w:t xml:space="preserve">provide feedback </w:t>
      </w:r>
      <w:r w:rsidR="0007340A" w:rsidRPr="00907794">
        <w:rPr>
          <w:bCs/>
          <w:i/>
          <w:lang w:val="en-US"/>
        </w:rPr>
        <w:t>along with potential</w:t>
      </w:r>
      <w:r w:rsidR="00AE3F1A" w:rsidRPr="00907794">
        <w:rPr>
          <w:bCs/>
          <w:i/>
          <w:lang w:val="en-US"/>
        </w:rPr>
        <w:t xml:space="preserve"> suggestions of improvement (if necessary). The articles will be sent </w:t>
      </w:r>
      <w:r w:rsidR="0007340A" w:rsidRPr="00907794">
        <w:rPr>
          <w:bCs/>
          <w:i/>
          <w:lang w:val="en-US"/>
        </w:rPr>
        <w:t xml:space="preserve">back </w:t>
      </w:r>
      <w:r w:rsidR="00AE3F1A" w:rsidRPr="00907794">
        <w:rPr>
          <w:bCs/>
          <w:i/>
          <w:lang w:val="en-US"/>
        </w:rPr>
        <w:t xml:space="preserve">to the </w:t>
      </w:r>
      <w:r w:rsidR="0007340A" w:rsidRPr="00907794">
        <w:rPr>
          <w:bCs/>
          <w:i/>
          <w:lang w:val="en-US"/>
        </w:rPr>
        <w:t>authors for integration of the received feedback</w:t>
      </w:r>
      <w:r w:rsidR="00AE3F1A" w:rsidRPr="00907794">
        <w:rPr>
          <w:bCs/>
          <w:i/>
          <w:lang w:val="en-US"/>
        </w:rPr>
        <w:t>.</w:t>
      </w:r>
    </w:p>
    <w:p w14:paraId="4DF16CF3" w14:textId="77777777" w:rsidR="0007340A" w:rsidRPr="00907794" w:rsidRDefault="0007340A" w:rsidP="00E91BF4">
      <w:pPr>
        <w:spacing w:after="0" w:line="240" w:lineRule="auto"/>
        <w:jc w:val="both"/>
        <w:rPr>
          <w:b/>
          <w:bCs/>
          <w:lang w:val="en-US"/>
        </w:rPr>
      </w:pPr>
    </w:p>
    <w:p w14:paraId="41ED86EF" w14:textId="592AA298" w:rsidR="00CD0866" w:rsidRPr="00907794" w:rsidRDefault="00C940B4" w:rsidP="00E91BF4">
      <w:pPr>
        <w:spacing w:after="0" w:line="240" w:lineRule="auto"/>
        <w:jc w:val="both"/>
        <w:rPr>
          <w:b/>
          <w:bCs/>
          <w:lang w:val="en-US"/>
        </w:rPr>
      </w:pPr>
      <w:r>
        <w:rPr>
          <w:b/>
          <w:bCs/>
          <w:lang w:val="en-US"/>
        </w:rPr>
        <w:t>21</w:t>
      </w:r>
      <w:r w:rsidR="0007340A" w:rsidRPr="00907794">
        <w:rPr>
          <w:b/>
          <w:bCs/>
          <w:lang w:val="en-US"/>
        </w:rPr>
        <w:t xml:space="preserve"> October – 1</w:t>
      </w:r>
      <w:r w:rsidR="00116596" w:rsidRPr="00907794">
        <w:rPr>
          <w:b/>
          <w:bCs/>
          <w:lang w:val="en-US"/>
        </w:rPr>
        <w:t>7</w:t>
      </w:r>
      <w:r w:rsidR="0007340A" w:rsidRPr="00907794">
        <w:rPr>
          <w:b/>
          <w:bCs/>
          <w:lang w:val="en-US"/>
        </w:rPr>
        <w:t xml:space="preserve"> November 201</w:t>
      </w:r>
      <w:r w:rsidR="00116596" w:rsidRPr="00907794">
        <w:rPr>
          <w:b/>
          <w:bCs/>
          <w:lang w:val="en-US"/>
        </w:rPr>
        <w:t>7</w:t>
      </w:r>
      <w:r w:rsidR="0007340A" w:rsidRPr="00907794">
        <w:rPr>
          <w:b/>
          <w:bCs/>
          <w:lang w:val="en-US"/>
        </w:rPr>
        <w:t>:</w:t>
      </w:r>
      <w:r w:rsidR="00AE3F1A" w:rsidRPr="00907794">
        <w:rPr>
          <w:b/>
          <w:bCs/>
          <w:lang w:val="en-US"/>
        </w:rPr>
        <w:t xml:space="preserve"> f</w:t>
      </w:r>
      <w:r w:rsidR="00B22531" w:rsidRPr="00907794">
        <w:rPr>
          <w:b/>
          <w:bCs/>
          <w:lang w:val="en-US"/>
        </w:rPr>
        <w:t>irst</w:t>
      </w:r>
      <w:r w:rsidR="00AE3F1A" w:rsidRPr="00907794">
        <w:rPr>
          <w:b/>
          <w:bCs/>
          <w:lang w:val="en-US"/>
        </w:rPr>
        <w:t xml:space="preserve"> revision of papers: </w:t>
      </w:r>
      <w:r w:rsidR="00AE3F1A" w:rsidRPr="00907794">
        <w:rPr>
          <w:bCs/>
          <w:i/>
          <w:lang w:val="en-US"/>
        </w:rPr>
        <w:t xml:space="preserve">The authors will improve / adjust the papers accordingly, </w:t>
      </w:r>
      <w:r w:rsidR="0007340A" w:rsidRPr="00907794">
        <w:rPr>
          <w:bCs/>
          <w:i/>
          <w:lang w:val="en-US"/>
        </w:rPr>
        <w:t xml:space="preserve">based on the feedback received, </w:t>
      </w:r>
      <w:r w:rsidR="00AE3F1A" w:rsidRPr="00907794">
        <w:rPr>
          <w:bCs/>
          <w:i/>
          <w:lang w:val="en-US"/>
        </w:rPr>
        <w:t>providing the final paper</w:t>
      </w:r>
      <w:r w:rsidR="0007340A" w:rsidRPr="00907794">
        <w:rPr>
          <w:bCs/>
          <w:i/>
          <w:lang w:val="en-US"/>
        </w:rPr>
        <w:t xml:space="preserve"> to the organizers (also via e-mail </w:t>
      </w:r>
      <w:r w:rsidR="00116596" w:rsidRPr="00907794">
        <w:rPr>
          <w:b/>
          <w:bCs/>
          <w:i/>
          <w:lang w:val="en-US"/>
        </w:rPr>
        <w:t xml:space="preserve">until 17 </w:t>
      </w:r>
      <w:r w:rsidR="0007340A" w:rsidRPr="00907794">
        <w:rPr>
          <w:b/>
          <w:bCs/>
          <w:i/>
          <w:lang w:val="en-US"/>
        </w:rPr>
        <w:t>November 201</w:t>
      </w:r>
      <w:r w:rsidR="00116596" w:rsidRPr="00907794">
        <w:rPr>
          <w:b/>
          <w:bCs/>
          <w:i/>
          <w:lang w:val="en-US"/>
        </w:rPr>
        <w:t>7</w:t>
      </w:r>
      <w:r w:rsidR="0007340A" w:rsidRPr="00907794">
        <w:rPr>
          <w:bCs/>
          <w:i/>
          <w:lang w:val="en-US"/>
        </w:rPr>
        <w:t>)</w:t>
      </w:r>
      <w:r w:rsidR="00AE3F1A" w:rsidRPr="00907794">
        <w:rPr>
          <w:bCs/>
          <w:i/>
          <w:lang w:val="en-US"/>
        </w:rPr>
        <w:t xml:space="preserve">. </w:t>
      </w:r>
    </w:p>
    <w:p w14:paraId="505E64CD" w14:textId="77777777" w:rsidR="0007340A" w:rsidRPr="00907794" w:rsidRDefault="0007340A" w:rsidP="00E91BF4">
      <w:pPr>
        <w:spacing w:after="0" w:line="240" w:lineRule="auto"/>
        <w:jc w:val="both"/>
        <w:rPr>
          <w:b/>
          <w:bCs/>
          <w:lang w:val="en-US"/>
        </w:rPr>
      </w:pPr>
    </w:p>
    <w:p w14:paraId="504DEE7A" w14:textId="34ABF814" w:rsidR="0007340A" w:rsidRPr="00907794" w:rsidRDefault="0007340A" w:rsidP="00E91BF4">
      <w:pPr>
        <w:spacing w:after="0" w:line="240" w:lineRule="auto"/>
        <w:jc w:val="both"/>
        <w:rPr>
          <w:bCs/>
          <w:lang w:val="en-US"/>
        </w:rPr>
      </w:pPr>
      <w:r w:rsidRPr="00907794">
        <w:rPr>
          <w:b/>
          <w:bCs/>
          <w:lang w:val="en-US"/>
        </w:rPr>
        <w:t>1</w:t>
      </w:r>
      <w:r w:rsidR="00116596" w:rsidRPr="00907794">
        <w:rPr>
          <w:b/>
          <w:bCs/>
          <w:lang w:val="en-US"/>
        </w:rPr>
        <w:t>7</w:t>
      </w:r>
      <w:r w:rsidRPr="00907794">
        <w:rPr>
          <w:b/>
          <w:bCs/>
          <w:lang w:val="en-US"/>
        </w:rPr>
        <w:t xml:space="preserve"> November 201</w:t>
      </w:r>
      <w:r w:rsidR="00116596" w:rsidRPr="00907794">
        <w:rPr>
          <w:b/>
          <w:bCs/>
          <w:lang w:val="en-US"/>
        </w:rPr>
        <w:t>7</w:t>
      </w:r>
      <w:r w:rsidRPr="00907794">
        <w:rPr>
          <w:b/>
          <w:bCs/>
          <w:lang w:val="en-US"/>
        </w:rPr>
        <w:t xml:space="preserve">: </w:t>
      </w:r>
      <w:r w:rsidRPr="00907794">
        <w:rPr>
          <w:bCs/>
          <w:i/>
          <w:lang w:val="en-US"/>
        </w:rPr>
        <w:t>All final papers</w:t>
      </w:r>
      <w:r w:rsidR="00B22531" w:rsidRPr="00907794">
        <w:rPr>
          <w:bCs/>
          <w:i/>
          <w:lang w:val="en-US"/>
        </w:rPr>
        <w:t xml:space="preserve"> to </w:t>
      </w:r>
      <w:r w:rsidR="003F79CC" w:rsidRPr="00907794">
        <w:rPr>
          <w:bCs/>
          <w:i/>
          <w:lang w:val="en-US"/>
        </w:rPr>
        <w:t xml:space="preserve">be </w:t>
      </w:r>
      <w:r w:rsidR="00B22531" w:rsidRPr="00907794">
        <w:rPr>
          <w:bCs/>
          <w:i/>
          <w:lang w:val="en-US"/>
        </w:rPr>
        <w:t>sent to the thematic coordinators</w:t>
      </w:r>
      <w:r w:rsidR="00417CF0" w:rsidRPr="00907794">
        <w:rPr>
          <w:bCs/>
          <w:i/>
          <w:lang w:val="en-US"/>
        </w:rPr>
        <w:t>.</w:t>
      </w:r>
    </w:p>
    <w:p w14:paraId="58C2AEA3" w14:textId="77777777" w:rsidR="0007340A" w:rsidRPr="00907794" w:rsidRDefault="0007340A" w:rsidP="00E91BF4">
      <w:pPr>
        <w:spacing w:after="0" w:line="240" w:lineRule="auto"/>
        <w:jc w:val="both"/>
        <w:rPr>
          <w:bCs/>
          <w:lang w:val="en-US"/>
        </w:rPr>
      </w:pPr>
    </w:p>
    <w:p w14:paraId="3FB287C5" w14:textId="13370C40" w:rsidR="00417CF0" w:rsidRPr="00907794" w:rsidRDefault="0007340A" w:rsidP="00E91BF4">
      <w:pPr>
        <w:spacing w:after="0" w:line="240" w:lineRule="auto"/>
        <w:jc w:val="both"/>
        <w:rPr>
          <w:b/>
          <w:bCs/>
          <w:color w:val="000000"/>
          <w:lang w:val="en-US"/>
        </w:rPr>
      </w:pPr>
      <w:r w:rsidRPr="00907794">
        <w:rPr>
          <w:b/>
          <w:bCs/>
          <w:lang w:val="en-US"/>
        </w:rPr>
        <w:t>2</w:t>
      </w:r>
      <w:r w:rsidR="00116596" w:rsidRPr="00907794">
        <w:rPr>
          <w:b/>
          <w:bCs/>
          <w:lang w:val="en-US"/>
        </w:rPr>
        <w:t>7</w:t>
      </w:r>
      <w:r w:rsidRPr="00907794">
        <w:rPr>
          <w:b/>
          <w:bCs/>
          <w:lang w:val="en-US"/>
        </w:rPr>
        <w:t xml:space="preserve"> – 2</w:t>
      </w:r>
      <w:r w:rsidR="00116596" w:rsidRPr="00907794">
        <w:rPr>
          <w:b/>
          <w:bCs/>
          <w:lang w:val="en-US"/>
        </w:rPr>
        <w:t>9</w:t>
      </w:r>
      <w:r w:rsidRPr="00907794">
        <w:rPr>
          <w:b/>
          <w:bCs/>
          <w:lang w:val="en-US"/>
        </w:rPr>
        <w:t xml:space="preserve"> November 201</w:t>
      </w:r>
      <w:r w:rsidR="00116596" w:rsidRPr="00907794">
        <w:rPr>
          <w:b/>
          <w:bCs/>
          <w:lang w:val="en-US"/>
        </w:rPr>
        <w:t>7</w:t>
      </w:r>
      <w:r w:rsidRPr="00907794">
        <w:rPr>
          <w:b/>
          <w:bCs/>
          <w:lang w:val="en-US"/>
        </w:rPr>
        <w:t xml:space="preserve">: </w:t>
      </w:r>
      <w:r w:rsidR="00AE3F1A" w:rsidRPr="00907794">
        <w:rPr>
          <w:b/>
          <w:bCs/>
          <w:lang w:val="en-US"/>
        </w:rPr>
        <w:t xml:space="preserve">The Future of Higher Education - </w:t>
      </w:r>
      <w:r w:rsidR="00AE3F1A" w:rsidRPr="00907794">
        <w:rPr>
          <w:b/>
          <w:bCs/>
          <w:color w:val="000000"/>
          <w:lang w:val="en-US"/>
        </w:rPr>
        <w:t>Bologna Process Researchers’ Conference</w:t>
      </w:r>
      <w:r w:rsidRPr="00907794">
        <w:rPr>
          <w:b/>
          <w:bCs/>
          <w:color w:val="000000"/>
          <w:lang w:val="en-US"/>
        </w:rPr>
        <w:t xml:space="preserve">, </w:t>
      </w:r>
      <w:r w:rsidR="00116596" w:rsidRPr="00907794">
        <w:rPr>
          <w:b/>
          <w:bCs/>
          <w:color w:val="000000"/>
          <w:lang w:val="en-US"/>
        </w:rPr>
        <w:t>third</w:t>
      </w:r>
      <w:r w:rsidRPr="00907794">
        <w:rPr>
          <w:b/>
          <w:bCs/>
          <w:color w:val="000000"/>
          <w:lang w:val="en-US"/>
        </w:rPr>
        <w:t xml:space="preserve"> edition</w:t>
      </w:r>
      <w:r w:rsidR="00AE3F1A" w:rsidRPr="00907794">
        <w:rPr>
          <w:b/>
          <w:bCs/>
          <w:color w:val="000000"/>
          <w:lang w:val="en-US"/>
        </w:rPr>
        <w:t xml:space="preserve"> (FOHE-BPRC</w:t>
      </w:r>
      <w:r w:rsidR="00116596" w:rsidRPr="00907794">
        <w:rPr>
          <w:b/>
          <w:bCs/>
          <w:color w:val="000000"/>
          <w:lang w:val="en-US"/>
        </w:rPr>
        <w:t>2 2017)</w:t>
      </w:r>
    </w:p>
    <w:p w14:paraId="3F0F6144" w14:textId="77777777" w:rsidR="00B22531" w:rsidRPr="00907794" w:rsidRDefault="00B22531" w:rsidP="00E91BF4">
      <w:pPr>
        <w:spacing w:after="0" w:line="240" w:lineRule="auto"/>
        <w:jc w:val="both"/>
        <w:rPr>
          <w:b/>
          <w:bCs/>
          <w:color w:val="000000"/>
          <w:lang w:val="en-US"/>
        </w:rPr>
      </w:pPr>
    </w:p>
    <w:p w14:paraId="4C13393B" w14:textId="61DA3BB9" w:rsidR="00B22531" w:rsidRPr="00907794" w:rsidRDefault="00B22531" w:rsidP="00E91BF4">
      <w:pPr>
        <w:spacing w:after="0" w:line="240" w:lineRule="auto"/>
        <w:jc w:val="both"/>
        <w:rPr>
          <w:bCs/>
          <w:i/>
          <w:color w:val="000000"/>
          <w:lang w:val="en-US"/>
        </w:rPr>
      </w:pPr>
      <w:r w:rsidRPr="00907794">
        <w:rPr>
          <w:b/>
          <w:bCs/>
          <w:color w:val="000000"/>
          <w:lang w:val="en-US"/>
        </w:rPr>
        <w:t>2</w:t>
      </w:r>
      <w:r w:rsidR="00116596" w:rsidRPr="00907794">
        <w:rPr>
          <w:b/>
          <w:bCs/>
          <w:color w:val="000000"/>
          <w:lang w:val="en-US"/>
        </w:rPr>
        <w:t>9</w:t>
      </w:r>
      <w:r w:rsidRPr="00907794">
        <w:rPr>
          <w:b/>
          <w:bCs/>
          <w:color w:val="000000"/>
          <w:lang w:val="en-US"/>
        </w:rPr>
        <w:t xml:space="preserve"> November 201</w:t>
      </w:r>
      <w:r w:rsidR="00116596" w:rsidRPr="00907794">
        <w:rPr>
          <w:b/>
          <w:bCs/>
          <w:color w:val="000000"/>
          <w:lang w:val="en-US"/>
        </w:rPr>
        <w:t>7</w:t>
      </w:r>
      <w:r w:rsidRPr="00907794">
        <w:rPr>
          <w:b/>
          <w:bCs/>
          <w:color w:val="000000"/>
          <w:lang w:val="en-US"/>
        </w:rPr>
        <w:t xml:space="preserve"> – 1</w:t>
      </w:r>
      <w:r w:rsidR="00116596" w:rsidRPr="00907794">
        <w:rPr>
          <w:b/>
          <w:bCs/>
          <w:color w:val="000000"/>
          <w:lang w:val="en-US"/>
        </w:rPr>
        <w:t>4</w:t>
      </w:r>
      <w:r w:rsidRPr="00907794">
        <w:rPr>
          <w:b/>
          <w:bCs/>
          <w:color w:val="000000"/>
          <w:lang w:val="en-US"/>
        </w:rPr>
        <w:t xml:space="preserve"> January 201</w:t>
      </w:r>
      <w:r w:rsidR="00116596" w:rsidRPr="00907794">
        <w:rPr>
          <w:b/>
          <w:bCs/>
          <w:color w:val="000000"/>
          <w:lang w:val="en-US"/>
        </w:rPr>
        <w:t>8</w:t>
      </w:r>
      <w:r w:rsidRPr="00907794">
        <w:rPr>
          <w:b/>
          <w:bCs/>
          <w:color w:val="000000"/>
          <w:lang w:val="en-US"/>
        </w:rPr>
        <w:t xml:space="preserve">: final revision of papers: </w:t>
      </w:r>
      <w:r w:rsidR="003F79CC" w:rsidRPr="00907794">
        <w:rPr>
          <w:bCs/>
          <w:i/>
          <w:color w:val="000000"/>
          <w:lang w:val="en-US"/>
        </w:rPr>
        <w:t xml:space="preserve">The authors will revise the </w:t>
      </w:r>
      <w:r w:rsidRPr="00907794">
        <w:rPr>
          <w:bCs/>
          <w:i/>
          <w:color w:val="000000"/>
          <w:lang w:val="en-US"/>
        </w:rPr>
        <w:t>p</w:t>
      </w:r>
      <w:r w:rsidR="003F79CC" w:rsidRPr="00907794">
        <w:rPr>
          <w:bCs/>
          <w:i/>
          <w:color w:val="000000"/>
          <w:lang w:val="en-US"/>
        </w:rPr>
        <w:t>a</w:t>
      </w:r>
      <w:r w:rsidRPr="00907794">
        <w:rPr>
          <w:bCs/>
          <w:i/>
          <w:color w:val="000000"/>
          <w:lang w:val="en-US"/>
        </w:rPr>
        <w:t>pers according to the feedback received during the conference and send them to the thematic coordinators for a final approval.</w:t>
      </w:r>
    </w:p>
    <w:p w14:paraId="188769DF" w14:textId="77777777" w:rsidR="00B22531" w:rsidRPr="00907794" w:rsidRDefault="00B22531" w:rsidP="00E91BF4">
      <w:pPr>
        <w:spacing w:after="0" w:line="240" w:lineRule="auto"/>
        <w:jc w:val="both"/>
        <w:rPr>
          <w:bCs/>
          <w:i/>
          <w:color w:val="000000"/>
          <w:lang w:val="en-US"/>
        </w:rPr>
      </w:pPr>
    </w:p>
    <w:p w14:paraId="1DF556E5" w14:textId="476AD354" w:rsidR="00B22531" w:rsidRPr="00907794" w:rsidRDefault="00B22531" w:rsidP="00E91BF4">
      <w:pPr>
        <w:spacing w:after="0" w:line="240" w:lineRule="auto"/>
        <w:jc w:val="both"/>
        <w:rPr>
          <w:bCs/>
          <w:color w:val="000000"/>
          <w:lang w:val="en-US"/>
        </w:rPr>
      </w:pPr>
      <w:r w:rsidRPr="00907794">
        <w:rPr>
          <w:b/>
          <w:bCs/>
          <w:color w:val="000000"/>
          <w:lang w:val="en-US"/>
        </w:rPr>
        <w:t xml:space="preserve">15 January – </w:t>
      </w:r>
      <w:r w:rsidR="00116596" w:rsidRPr="00907794">
        <w:rPr>
          <w:b/>
          <w:bCs/>
          <w:color w:val="000000"/>
          <w:lang w:val="en-US"/>
        </w:rPr>
        <w:t>2</w:t>
      </w:r>
      <w:r w:rsidRPr="00907794">
        <w:rPr>
          <w:b/>
          <w:bCs/>
          <w:color w:val="000000"/>
          <w:lang w:val="en-US"/>
        </w:rPr>
        <w:t xml:space="preserve"> February 201</w:t>
      </w:r>
      <w:r w:rsidR="00116596" w:rsidRPr="00907794">
        <w:rPr>
          <w:b/>
          <w:bCs/>
          <w:color w:val="000000"/>
          <w:lang w:val="en-US"/>
        </w:rPr>
        <w:t>8</w:t>
      </w:r>
      <w:r w:rsidRPr="00907794">
        <w:rPr>
          <w:b/>
          <w:bCs/>
          <w:color w:val="000000"/>
          <w:lang w:val="en-US"/>
        </w:rPr>
        <w:t xml:space="preserve">: </w:t>
      </w:r>
      <w:r w:rsidRPr="00907794">
        <w:rPr>
          <w:bCs/>
          <w:color w:val="000000"/>
          <w:lang w:val="en-US"/>
        </w:rPr>
        <w:t>checking of the articles by the thematic coordinators and editing/ proofreading.</w:t>
      </w:r>
    </w:p>
    <w:p w14:paraId="68136296" w14:textId="77777777" w:rsidR="00B22531" w:rsidRPr="00907794" w:rsidRDefault="00B22531" w:rsidP="00E91BF4">
      <w:pPr>
        <w:spacing w:after="0" w:line="240" w:lineRule="auto"/>
        <w:jc w:val="both"/>
        <w:rPr>
          <w:bCs/>
          <w:color w:val="000000"/>
          <w:lang w:val="en-US"/>
        </w:rPr>
      </w:pPr>
    </w:p>
    <w:p w14:paraId="4AB9F4B3" w14:textId="455E922A" w:rsidR="00B22531" w:rsidRPr="00907794" w:rsidRDefault="00116596" w:rsidP="00E91BF4">
      <w:pPr>
        <w:spacing w:after="0" w:line="240" w:lineRule="auto"/>
        <w:jc w:val="both"/>
        <w:rPr>
          <w:bCs/>
          <w:color w:val="000000"/>
          <w:lang w:val="en-US"/>
        </w:rPr>
      </w:pPr>
      <w:r w:rsidRPr="00907794">
        <w:rPr>
          <w:b/>
          <w:bCs/>
          <w:color w:val="000000"/>
          <w:lang w:val="en-US"/>
        </w:rPr>
        <w:t>2</w:t>
      </w:r>
      <w:r w:rsidR="00B22531" w:rsidRPr="00907794">
        <w:rPr>
          <w:b/>
          <w:bCs/>
          <w:color w:val="000000"/>
          <w:lang w:val="en-US"/>
        </w:rPr>
        <w:t xml:space="preserve"> – 1</w:t>
      </w:r>
      <w:r w:rsidRPr="00907794">
        <w:rPr>
          <w:b/>
          <w:bCs/>
          <w:color w:val="000000"/>
          <w:lang w:val="en-US"/>
        </w:rPr>
        <w:t>6</w:t>
      </w:r>
      <w:r w:rsidR="00AC02E1">
        <w:rPr>
          <w:b/>
          <w:bCs/>
          <w:color w:val="000000"/>
          <w:lang w:val="en-US"/>
        </w:rPr>
        <w:t xml:space="preserve"> February 2018</w:t>
      </w:r>
      <w:r w:rsidR="00B22531" w:rsidRPr="00907794">
        <w:rPr>
          <w:b/>
          <w:bCs/>
          <w:color w:val="000000"/>
          <w:lang w:val="en-US"/>
        </w:rPr>
        <w:t xml:space="preserve">: </w:t>
      </w:r>
      <w:r w:rsidR="00B22531" w:rsidRPr="00907794">
        <w:rPr>
          <w:bCs/>
          <w:i/>
          <w:color w:val="000000"/>
          <w:lang w:val="en-US"/>
        </w:rPr>
        <w:t xml:space="preserve">layouting </w:t>
      </w:r>
    </w:p>
    <w:p w14:paraId="5AED598F" w14:textId="77777777" w:rsidR="00B22531" w:rsidRPr="00907794" w:rsidRDefault="00B22531" w:rsidP="00E91BF4">
      <w:pPr>
        <w:spacing w:after="0" w:line="240" w:lineRule="auto"/>
        <w:jc w:val="both"/>
        <w:rPr>
          <w:bCs/>
          <w:color w:val="000000"/>
          <w:lang w:val="en-US"/>
        </w:rPr>
      </w:pPr>
    </w:p>
    <w:p w14:paraId="5E919751" w14:textId="7CF2C1C1" w:rsidR="00B22531" w:rsidRPr="00907794" w:rsidRDefault="00B22531" w:rsidP="00E91BF4">
      <w:pPr>
        <w:spacing w:after="0" w:line="240" w:lineRule="auto"/>
        <w:jc w:val="both"/>
        <w:rPr>
          <w:bCs/>
          <w:i/>
          <w:color w:val="000000"/>
          <w:lang w:val="en-US"/>
        </w:rPr>
      </w:pPr>
      <w:r w:rsidRPr="00907794">
        <w:rPr>
          <w:b/>
          <w:bCs/>
          <w:color w:val="000000"/>
          <w:lang w:val="en-US"/>
        </w:rPr>
        <w:t>1</w:t>
      </w:r>
      <w:r w:rsidR="00116596" w:rsidRPr="00907794">
        <w:rPr>
          <w:b/>
          <w:bCs/>
          <w:color w:val="000000"/>
          <w:lang w:val="en-US"/>
        </w:rPr>
        <w:t>6</w:t>
      </w:r>
      <w:r w:rsidR="00AC02E1">
        <w:rPr>
          <w:b/>
          <w:bCs/>
          <w:color w:val="000000"/>
          <w:lang w:val="en-US"/>
        </w:rPr>
        <w:t xml:space="preserve"> February 2018</w:t>
      </w:r>
      <w:r w:rsidRPr="00907794">
        <w:rPr>
          <w:bCs/>
          <w:color w:val="000000"/>
          <w:lang w:val="en-US"/>
        </w:rPr>
        <w:t xml:space="preserve">: </w:t>
      </w:r>
      <w:r w:rsidRPr="00907794">
        <w:rPr>
          <w:bCs/>
          <w:i/>
          <w:color w:val="000000"/>
          <w:lang w:val="en-US"/>
        </w:rPr>
        <w:t>deadline for sending the final manuscript for publication.</w:t>
      </w:r>
    </w:p>
    <w:p w14:paraId="1266EC80" w14:textId="77777777" w:rsidR="00B22531" w:rsidRPr="00907794" w:rsidRDefault="00B22531" w:rsidP="00E91BF4">
      <w:pPr>
        <w:spacing w:after="0" w:line="240" w:lineRule="auto"/>
        <w:jc w:val="both"/>
        <w:rPr>
          <w:b/>
          <w:bCs/>
          <w:lang w:val="en-US"/>
        </w:rPr>
      </w:pPr>
    </w:p>
    <w:p w14:paraId="118B9776" w14:textId="77777777" w:rsidR="00193859" w:rsidRPr="00907794" w:rsidRDefault="00A26E8F" w:rsidP="00FC6820">
      <w:pPr>
        <w:pStyle w:val="Heading2"/>
        <w:rPr>
          <w:b w:val="0"/>
          <w:iCs/>
        </w:rPr>
      </w:pPr>
      <w:r w:rsidRPr="00907794">
        <w:rPr>
          <w:iCs/>
        </w:rPr>
        <w:t>Practical details</w:t>
      </w:r>
    </w:p>
    <w:p w14:paraId="333E3CBF" w14:textId="242630F6" w:rsidR="00AB3655" w:rsidRPr="00907794" w:rsidRDefault="0065320D" w:rsidP="005863BD">
      <w:pPr>
        <w:spacing w:after="0" w:line="240" w:lineRule="auto"/>
        <w:jc w:val="both"/>
        <w:rPr>
          <w:bCs/>
          <w:iCs/>
          <w:lang w:val="en-US"/>
        </w:rPr>
      </w:pPr>
      <w:r w:rsidRPr="00907794">
        <w:rPr>
          <w:bCs/>
          <w:lang w:val="en-US"/>
        </w:rPr>
        <w:t>No participation fees will be required from the BPRC participants</w:t>
      </w:r>
      <w:r w:rsidRPr="00907794">
        <w:rPr>
          <w:bCs/>
          <w:iCs/>
          <w:lang w:val="en-US"/>
        </w:rPr>
        <w:t xml:space="preserve">. </w:t>
      </w:r>
      <w:r w:rsidR="005863BD" w:rsidRPr="00907794">
        <w:rPr>
          <w:bCs/>
          <w:iCs/>
          <w:lang w:val="en-US"/>
        </w:rPr>
        <w:t xml:space="preserve">Accommodation </w:t>
      </w:r>
      <w:r w:rsidR="00B22531" w:rsidRPr="00907794">
        <w:rPr>
          <w:bCs/>
          <w:iCs/>
          <w:lang w:val="en-US"/>
        </w:rPr>
        <w:t>and conference mea</w:t>
      </w:r>
      <w:r w:rsidR="00116596" w:rsidRPr="00907794">
        <w:rPr>
          <w:bCs/>
          <w:iCs/>
          <w:lang w:val="en-US"/>
        </w:rPr>
        <w:t>l</w:t>
      </w:r>
      <w:r w:rsidR="00B22531" w:rsidRPr="00907794">
        <w:rPr>
          <w:bCs/>
          <w:iCs/>
          <w:lang w:val="en-US"/>
        </w:rPr>
        <w:t xml:space="preserve">s </w:t>
      </w:r>
      <w:r w:rsidR="005863BD" w:rsidRPr="00907794">
        <w:rPr>
          <w:bCs/>
          <w:iCs/>
          <w:lang w:val="en-US"/>
        </w:rPr>
        <w:t xml:space="preserve">will be covered by the organizers. </w:t>
      </w:r>
      <w:r w:rsidR="00B22531" w:rsidRPr="00907794">
        <w:rPr>
          <w:bCs/>
          <w:iCs/>
          <w:lang w:val="en-US"/>
        </w:rPr>
        <w:t>A number of grants covering the travel costs of the first author of selected papers will be awarded, upon motivated request, in case of financial difficulties.</w:t>
      </w:r>
    </w:p>
    <w:p w14:paraId="75AD2BAC" w14:textId="77777777" w:rsidR="00E91BF4" w:rsidRPr="00907794" w:rsidRDefault="00E91BF4" w:rsidP="00E91BF4">
      <w:pPr>
        <w:spacing w:after="0" w:line="240" w:lineRule="auto"/>
        <w:rPr>
          <w:b/>
          <w:iCs/>
          <w:lang w:val="en-US"/>
        </w:rPr>
      </w:pPr>
    </w:p>
    <w:p w14:paraId="0F715FD8" w14:textId="77777777" w:rsidR="009C0F4D" w:rsidRPr="00907794" w:rsidRDefault="00486FA9" w:rsidP="00FC6820">
      <w:pPr>
        <w:pStyle w:val="Heading2"/>
        <w:rPr>
          <w:b w:val="0"/>
          <w:iCs/>
        </w:rPr>
      </w:pPr>
      <w:r w:rsidRPr="00907794">
        <w:rPr>
          <w:iCs/>
        </w:rPr>
        <w:t>Deliverables</w:t>
      </w:r>
    </w:p>
    <w:p w14:paraId="0B76ACC6" w14:textId="5548657A" w:rsidR="0065320D" w:rsidRDefault="00486FA9" w:rsidP="00E91BF4">
      <w:pPr>
        <w:spacing w:after="0" w:line="240" w:lineRule="auto"/>
        <w:jc w:val="both"/>
        <w:rPr>
          <w:iCs/>
          <w:lang w:val="en-US"/>
        </w:rPr>
      </w:pPr>
      <w:r w:rsidRPr="00907794">
        <w:rPr>
          <w:iCs/>
          <w:lang w:val="en-US"/>
        </w:rPr>
        <w:t xml:space="preserve">The FOHE-BPRC </w:t>
      </w:r>
      <w:r w:rsidR="005863BD" w:rsidRPr="00907794">
        <w:rPr>
          <w:iCs/>
          <w:lang w:val="en-US"/>
        </w:rPr>
        <w:t>papers will be published in</w:t>
      </w:r>
      <w:r w:rsidR="0065320D" w:rsidRPr="00907794">
        <w:rPr>
          <w:iCs/>
          <w:lang w:val="en-US"/>
        </w:rPr>
        <w:t xml:space="preserve"> </w:t>
      </w:r>
      <w:r w:rsidR="00EE7335" w:rsidRPr="00907794">
        <w:rPr>
          <w:iCs/>
          <w:lang w:val="en-US"/>
        </w:rPr>
        <w:t xml:space="preserve">a volume </w:t>
      </w:r>
      <w:r w:rsidR="0065320D" w:rsidRPr="00907794">
        <w:rPr>
          <w:iCs/>
          <w:lang w:val="en-US"/>
        </w:rPr>
        <w:t>of Outcome of P</w:t>
      </w:r>
      <w:r w:rsidRPr="00907794">
        <w:rPr>
          <w:iCs/>
          <w:lang w:val="en-US"/>
        </w:rPr>
        <w:t>roceedings</w:t>
      </w:r>
      <w:r w:rsidR="005863BD" w:rsidRPr="00907794">
        <w:rPr>
          <w:iCs/>
          <w:lang w:val="en-US"/>
        </w:rPr>
        <w:t>,</w:t>
      </w:r>
      <w:r w:rsidR="0065320D" w:rsidRPr="00907794">
        <w:rPr>
          <w:iCs/>
          <w:lang w:val="en-US"/>
        </w:rPr>
        <w:t xml:space="preserve"> by </w:t>
      </w:r>
      <w:r w:rsidR="00B22531" w:rsidRPr="00907794">
        <w:rPr>
          <w:iCs/>
          <w:lang w:val="en-US"/>
        </w:rPr>
        <w:t xml:space="preserve">an international publisher </w:t>
      </w:r>
      <w:r w:rsidR="0065320D" w:rsidRPr="00907794">
        <w:rPr>
          <w:iCs/>
          <w:lang w:val="en-US"/>
        </w:rPr>
        <w:t xml:space="preserve">and will be distributed to </w:t>
      </w:r>
      <w:r w:rsidR="00B22531" w:rsidRPr="00907794">
        <w:rPr>
          <w:iCs/>
          <w:lang w:val="en-US"/>
        </w:rPr>
        <w:t>decision-makers</w:t>
      </w:r>
      <w:r w:rsidR="005863BD" w:rsidRPr="00907794">
        <w:rPr>
          <w:iCs/>
          <w:lang w:val="en-US"/>
        </w:rPr>
        <w:t xml:space="preserve">, as well as the participants in the </w:t>
      </w:r>
      <w:r w:rsidR="00EE7335" w:rsidRPr="00907794">
        <w:rPr>
          <w:iCs/>
          <w:lang w:val="en-US"/>
        </w:rPr>
        <w:t>Paris</w:t>
      </w:r>
      <w:r w:rsidR="005863BD" w:rsidRPr="00907794">
        <w:rPr>
          <w:iCs/>
          <w:lang w:val="en-US"/>
        </w:rPr>
        <w:t xml:space="preserve"> Ministerial Conference (</w:t>
      </w:r>
      <w:r w:rsidR="00EE7335" w:rsidRPr="00907794">
        <w:rPr>
          <w:iCs/>
          <w:lang w:val="en-US"/>
        </w:rPr>
        <w:t xml:space="preserve">May </w:t>
      </w:r>
      <w:r w:rsidR="005863BD" w:rsidRPr="00907794">
        <w:rPr>
          <w:iCs/>
          <w:lang w:val="en-US"/>
        </w:rPr>
        <w:t>201</w:t>
      </w:r>
      <w:r w:rsidR="00EE7335" w:rsidRPr="00907794">
        <w:rPr>
          <w:iCs/>
          <w:lang w:val="en-US"/>
        </w:rPr>
        <w:t>8</w:t>
      </w:r>
      <w:r w:rsidR="005863BD" w:rsidRPr="00907794">
        <w:rPr>
          <w:iCs/>
          <w:lang w:val="en-US"/>
        </w:rPr>
        <w:t>)</w:t>
      </w:r>
      <w:r w:rsidR="0065320D" w:rsidRPr="00907794">
        <w:rPr>
          <w:iCs/>
          <w:lang w:val="en-US"/>
        </w:rPr>
        <w:t>. F</w:t>
      </w:r>
      <w:r w:rsidR="005863BD" w:rsidRPr="00907794">
        <w:rPr>
          <w:iCs/>
          <w:lang w:val="en-US"/>
        </w:rPr>
        <w:t>u</w:t>
      </w:r>
      <w:r w:rsidR="0065320D" w:rsidRPr="00907794">
        <w:rPr>
          <w:iCs/>
          <w:lang w:val="en-US"/>
        </w:rPr>
        <w:t>rthermore</w:t>
      </w:r>
      <w:r w:rsidRPr="00907794">
        <w:rPr>
          <w:iCs/>
          <w:lang w:val="en-US"/>
        </w:rPr>
        <w:t>,</w:t>
      </w:r>
      <w:r w:rsidR="0065320D" w:rsidRPr="00907794">
        <w:rPr>
          <w:iCs/>
          <w:lang w:val="en-US"/>
        </w:rPr>
        <w:t xml:space="preserve"> a</w:t>
      </w:r>
      <w:r w:rsidR="00B22531" w:rsidRPr="00907794">
        <w:rPr>
          <w:iCs/>
          <w:lang w:val="en-US"/>
        </w:rPr>
        <w:t>n</w:t>
      </w:r>
      <w:r w:rsidR="0065320D" w:rsidRPr="00907794">
        <w:rPr>
          <w:iCs/>
          <w:lang w:val="en-US"/>
        </w:rPr>
        <w:t xml:space="preserve"> </w:t>
      </w:r>
      <w:r w:rsidR="00B22531" w:rsidRPr="00907794">
        <w:rPr>
          <w:iCs/>
          <w:lang w:val="en-US"/>
        </w:rPr>
        <w:t>input</w:t>
      </w:r>
      <w:r w:rsidR="0065320D" w:rsidRPr="00907794">
        <w:rPr>
          <w:iCs/>
          <w:lang w:val="en-US"/>
        </w:rPr>
        <w:t xml:space="preserve"> based on the general report of the conference will be presented at the </w:t>
      </w:r>
      <w:r w:rsidR="00417CF0" w:rsidRPr="00907794">
        <w:rPr>
          <w:iCs/>
          <w:lang w:val="en-US"/>
        </w:rPr>
        <w:t>201</w:t>
      </w:r>
      <w:r w:rsidR="00EE7335" w:rsidRPr="00907794">
        <w:rPr>
          <w:iCs/>
          <w:lang w:val="en-US"/>
        </w:rPr>
        <w:t>8 Paris</w:t>
      </w:r>
      <w:r w:rsidR="00B22531" w:rsidRPr="00907794">
        <w:rPr>
          <w:iCs/>
          <w:lang w:val="en-US"/>
        </w:rPr>
        <w:t xml:space="preserve"> Ministerial Conference</w:t>
      </w:r>
      <w:r w:rsidRPr="00907794">
        <w:rPr>
          <w:iCs/>
          <w:lang w:val="en-US"/>
        </w:rPr>
        <w:t xml:space="preserve"> and Bologna Policy Forum. </w:t>
      </w:r>
    </w:p>
    <w:p w14:paraId="7C3BF5BB" w14:textId="77777777" w:rsidR="005E6611" w:rsidRDefault="005E6611" w:rsidP="00E91BF4">
      <w:pPr>
        <w:spacing w:after="0" w:line="240" w:lineRule="auto"/>
        <w:jc w:val="both"/>
        <w:rPr>
          <w:iCs/>
          <w:lang w:val="en-US"/>
        </w:rPr>
      </w:pPr>
    </w:p>
    <w:p w14:paraId="282B0E66" w14:textId="09D0C3CA" w:rsidR="005E6611" w:rsidRPr="00BA2151" w:rsidRDefault="005E6611" w:rsidP="005E6611">
      <w:pPr>
        <w:spacing w:after="0" w:line="240" w:lineRule="auto"/>
        <w:jc w:val="both"/>
        <w:rPr>
          <w:bCs/>
          <w:i/>
          <w:lang w:val="en-US"/>
        </w:rPr>
      </w:pPr>
      <w:r w:rsidRPr="00BA2151">
        <w:rPr>
          <w:i/>
          <w:iCs/>
          <w:lang w:val="en-US"/>
        </w:rPr>
        <w:t xml:space="preserve">We have already started the dialogue with </w:t>
      </w:r>
      <w:r w:rsidR="00C940B4" w:rsidRPr="00C940B4">
        <w:rPr>
          <w:i/>
          <w:iCs/>
          <w:lang w:val="en-US"/>
        </w:rPr>
        <w:t>Clarivate Analytics</w:t>
      </w:r>
      <w:r w:rsidR="00C940B4">
        <w:rPr>
          <w:i/>
          <w:iCs/>
          <w:lang w:val="en-US"/>
        </w:rPr>
        <w:t xml:space="preserve"> (previously </w:t>
      </w:r>
      <w:r w:rsidRPr="00BA2151">
        <w:rPr>
          <w:i/>
          <w:iCs/>
          <w:lang w:val="en-US"/>
        </w:rPr>
        <w:t xml:space="preserve">Thompson </w:t>
      </w:r>
      <w:r w:rsidR="00C940B4">
        <w:rPr>
          <w:i/>
          <w:iCs/>
          <w:lang w:val="en-US"/>
        </w:rPr>
        <w:t>Reuters</w:t>
      </w:r>
      <w:r w:rsidRPr="00BA2151">
        <w:rPr>
          <w:i/>
          <w:iCs/>
          <w:lang w:val="en-US"/>
        </w:rPr>
        <w:t>) for indexing the conference!</w:t>
      </w:r>
    </w:p>
    <w:p w14:paraId="234EFC20" w14:textId="77777777" w:rsidR="005E6611" w:rsidRPr="00907794" w:rsidRDefault="005E6611" w:rsidP="00E91BF4">
      <w:pPr>
        <w:spacing w:after="0" w:line="240" w:lineRule="auto"/>
        <w:jc w:val="both"/>
        <w:rPr>
          <w:bCs/>
          <w:lang w:val="en-US"/>
        </w:rPr>
      </w:pPr>
    </w:p>
    <w:p w14:paraId="62CEF075" w14:textId="2A415E00" w:rsidR="000755A0" w:rsidRPr="00161481" w:rsidRDefault="00E03CA6" w:rsidP="00FC6820">
      <w:pPr>
        <w:pStyle w:val="Heading1"/>
        <w:rPr>
          <w:iCs/>
          <w:sz w:val="30"/>
        </w:rPr>
      </w:pPr>
      <w:r w:rsidRPr="00907794">
        <w:rPr>
          <w:iCs/>
        </w:rPr>
        <w:br w:type="page"/>
      </w:r>
      <w:r w:rsidR="000755A0" w:rsidRPr="00161481">
        <w:rPr>
          <w:iCs/>
          <w:sz w:val="30"/>
        </w:rPr>
        <w:lastRenderedPageBreak/>
        <w:t>Annex 1 – Coordinating structures of the conference</w:t>
      </w:r>
    </w:p>
    <w:p w14:paraId="2F3F4B88" w14:textId="77777777" w:rsidR="00161481" w:rsidRPr="00161481" w:rsidRDefault="00161481" w:rsidP="00161481">
      <w:pPr>
        <w:rPr>
          <w:lang w:val="en-US"/>
        </w:rPr>
      </w:pPr>
    </w:p>
    <w:p w14:paraId="37EBB21D" w14:textId="77777777" w:rsidR="000755A0" w:rsidRPr="00161481" w:rsidRDefault="000755A0" w:rsidP="00161481">
      <w:pPr>
        <w:pStyle w:val="Heading2"/>
        <w:ind w:firstLine="0"/>
        <w:rPr>
          <w:i/>
          <w:sz w:val="26"/>
        </w:rPr>
      </w:pPr>
      <w:r w:rsidRPr="00161481">
        <w:rPr>
          <w:i/>
          <w:sz w:val="26"/>
        </w:rPr>
        <w:t xml:space="preserve">Scientific Committee </w:t>
      </w:r>
    </w:p>
    <w:p w14:paraId="51BA9926" w14:textId="77777777" w:rsidR="00161481" w:rsidRPr="00161481" w:rsidRDefault="00161481" w:rsidP="00161481">
      <w:pPr>
        <w:rPr>
          <w:lang w:val="en-US"/>
        </w:rPr>
      </w:pPr>
    </w:p>
    <w:p w14:paraId="681CD4CE" w14:textId="3EE871E0" w:rsidR="000755A0" w:rsidRPr="00907794" w:rsidRDefault="000755A0" w:rsidP="000755A0">
      <w:pPr>
        <w:numPr>
          <w:ilvl w:val="0"/>
          <w:numId w:val="8"/>
        </w:numPr>
        <w:shd w:val="clear" w:color="auto" w:fill="FFFFFF"/>
        <w:spacing w:after="0" w:line="300" w:lineRule="atLeast"/>
        <w:ind w:left="426" w:right="-257"/>
        <w:jc w:val="both"/>
        <w:rPr>
          <w:rFonts w:eastAsia="Times New Roman"/>
          <w:color w:val="000000"/>
          <w:lang w:val="en-US"/>
        </w:rPr>
      </w:pPr>
      <w:r w:rsidRPr="00907794">
        <w:rPr>
          <w:rFonts w:eastAsia="Times New Roman"/>
          <w:b/>
          <w:color w:val="000000"/>
          <w:lang w:val="en-US"/>
        </w:rPr>
        <w:t>Remus Pricopie</w:t>
      </w:r>
      <w:r w:rsidRPr="00907794">
        <w:rPr>
          <w:rFonts w:eastAsia="Times New Roman"/>
          <w:color w:val="000000"/>
          <w:lang w:val="en-US"/>
        </w:rPr>
        <w:t xml:space="preserve"> – </w:t>
      </w:r>
      <w:r w:rsidR="00DF7704" w:rsidRPr="00907794">
        <w:rPr>
          <w:rFonts w:eastAsia="Times New Roman"/>
          <w:color w:val="000000"/>
          <w:lang w:val="en-US"/>
        </w:rPr>
        <w:t>Rector, Bucharest University of Political Studies and Public Administration</w:t>
      </w:r>
      <w:r w:rsidRPr="00907794">
        <w:rPr>
          <w:rFonts w:eastAsia="Times New Roman"/>
          <w:color w:val="000000"/>
          <w:lang w:val="en-US"/>
        </w:rPr>
        <w:t>, Romania</w:t>
      </w:r>
    </w:p>
    <w:p w14:paraId="351CCD9C" w14:textId="6C1AF848" w:rsidR="000755A0" w:rsidRPr="00907794" w:rsidRDefault="000755A0" w:rsidP="000755A0">
      <w:pPr>
        <w:numPr>
          <w:ilvl w:val="0"/>
          <w:numId w:val="8"/>
        </w:numPr>
        <w:shd w:val="clear" w:color="auto" w:fill="FFFFFF"/>
        <w:spacing w:after="0" w:line="300" w:lineRule="atLeast"/>
        <w:ind w:left="426" w:right="-257"/>
        <w:jc w:val="both"/>
        <w:rPr>
          <w:rFonts w:eastAsia="Times New Roman"/>
          <w:color w:val="000000"/>
          <w:lang w:val="en-US"/>
        </w:rPr>
      </w:pPr>
      <w:r w:rsidRPr="00907794">
        <w:rPr>
          <w:rFonts w:eastAsia="Times New Roman"/>
          <w:b/>
          <w:bCs/>
          <w:color w:val="000000"/>
          <w:lang w:val="en-US"/>
        </w:rPr>
        <w:t>Liviu Matei</w:t>
      </w:r>
      <w:r w:rsidRPr="00907794">
        <w:rPr>
          <w:rFonts w:eastAsia="Times New Roman"/>
          <w:color w:val="000000"/>
          <w:lang w:val="en-US"/>
        </w:rPr>
        <w:t> –</w:t>
      </w:r>
      <w:r w:rsidR="00DF7704" w:rsidRPr="00907794">
        <w:rPr>
          <w:rFonts w:eastAsia="Times New Roman"/>
          <w:color w:val="000000"/>
          <w:lang w:val="en-US"/>
        </w:rPr>
        <w:t>Provost</w:t>
      </w:r>
      <w:r w:rsidRPr="00907794">
        <w:rPr>
          <w:rFonts w:eastAsia="Times New Roman"/>
          <w:color w:val="000000"/>
          <w:lang w:val="en-US"/>
        </w:rPr>
        <w:t xml:space="preserve"> at the Central European University (CEU)</w:t>
      </w:r>
    </w:p>
    <w:p w14:paraId="5F01295C" w14:textId="02EEA0FB" w:rsidR="00E4611B" w:rsidRPr="00907794" w:rsidRDefault="00E4611B" w:rsidP="000755A0">
      <w:pPr>
        <w:numPr>
          <w:ilvl w:val="0"/>
          <w:numId w:val="8"/>
        </w:numPr>
        <w:shd w:val="clear" w:color="auto" w:fill="FFFFFF"/>
        <w:spacing w:after="0" w:line="300" w:lineRule="atLeast"/>
        <w:ind w:left="426" w:right="-257"/>
        <w:jc w:val="both"/>
        <w:rPr>
          <w:rFonts w:eastAsia="Times New Roman"/>
          <w:color w:val="000000"/>
          <w:lang w:val="en-US"/>
        </w:rPr>
      </w:pPr>
      <w:r w:rsidRPr="00E4611B">
        <w:rPr>
          <w:b/>
          <w:lang w:val="en-US"/>
        </w:rPr>
        <w:t>Lesley Wilson</w:t>
      </w:r>
      <w:r>
        <w:rPr>
          <w:lang w:val="en-US"/>
        </w:rPr>
        <w:t xml:space="preserve"> – </w:t>
      </w:r>
      <w:r w:rsidR="00022D83">
        <w:rPr>
          <w:lang w:val="en-US"/>
        </w:rPr>
        <w:t xml:space="preserve">Secretary General of the </w:t>
      </w:r>
      <w:r>
        <w:rPr>
          <w:lang w:val="en-US"/>
        </w:rPr>
        <w:t>European University Association (EUA)</w:t>
      </w:r>
    </w:p>
    <w:p w14:paraId="3862BE05" w14:textId="2F27F9C3" w:rsidR="000755A0" w:rsidRPr="00907794" w:rsidRDefault="000755A0" w:rsidP="000755A0">
      <w:pPr>
        <w:numPr>
          <w:ilvl w:val="0"/>
          <w:numId w:val="8"/>
        </w:numPr>
        <w:shd w:val="clear" w:color="auto" w:fill="FFFFFF"/>
        <w:spacing w:after="0" w:line="300" w:lineRule="atLeast"/>
        <w:ind w:left="426" w:right="-257"/>
        <w:jc w:val="both"/>
        <w:rPr>
          <w:rFonts w:eastAsia="Times New Roman"/>
          <w:color w:val="000000"/>
          <w:lang w:val="en-US"/>
        </w:rPr>
      </w:pPr>
      <w:r w:rsidRPr="00907794">
        <w:rPr>
          <w:rFonts w:eastAsia="Times New Roman"/>
          <w:b/>
          <w:color w:val="000000"/>
          <w:lang w:val="en-US"/>
        </w:rPr>
        <w:t xml:space="preserve">Jamil Salmi </w:t>
      </w:r>
      <w:r w:rsidRPr="00907794">
        <w:rPr>
          <w:rFonts w:eastAsia="Times New Roman"/>
          <w:color w:val="000000"/>
          <w:lang w:val="en-US"/>
        </w:rPr>
        <w:t xml:space="preserve">– </w:t>
      </w:r>
      <w:r w:rsidR="00022D83">
        <w:rPr>
          <w:rFonts w:eastAsia="Times New Roman"/>
          <w:color w:val="000000"/>
          <w:lang w:val="en-US"/>
        </w:rPr>
        <w:t>Global Tertiary Education Expert</w:t>
      </w:r>
    </w:p>
    <w:p w14:paraId="3F20A80C" w14:textId="63563476" w:rsidR="000755A0" w:rsidRDefault="000755A0" w:rsidP="00E4611B">
      <w:pPr>
        <w:numPr>
          <w:ilvl w:val="0"/>
          <w:numId w:val="8"/>
        </w:numPr>
        <w:shd w:val="clear" w:color="auto" w:fill="FFFFFF"/>
        <w:spacing w:after="0" w:line="300" w:lineRule="atLeast"/>
        <w:ind w:left="426" w:right="-257"/>
        <w:jc w:val="both"/>
        <w:rPr>
          <w:rFonts w:eastAsia="Times New Roman"/>
          <w:color w:val="000000"/>
          <w:lang w:val="en-US"/>
        </w:rPr>
      </w:pPr>
      <w:r w:rsidRPr="00907794">
        <w:rPr>
          <w:rFonts w:eastAsia="Times New Roman"/>
          <w:b/>
          <w:color w:val="000000"/>
          <w:lang w:val="en-US"/>
        </w:rPr>
        <w:t>Hans de Wit</w:t>
      </w:r>
      <w:r w:rsidRPr="00907794">
        <w:rPr>
          <w:rFonts w:eastAsia="Times New Roman"/>
          <w:color w:val="000000"/>
          <w:lang w:val="en-US"/>
        </w:rPr>
        <w:t xml:space="preserve"> – </w:t>
      </w:r>
      <w:r w:rsidR="00DB5A50" w:rsidRPr="00DB5A50">
        <w:rPr>
          <w:rFonts w:eastAsia="Times New Roman"/>
          <w:color w:val="000000"/>
          <w:lang w:val="en-US"/>
        </w:rPr>
        <w:t>Director of the ‘Center for International Higher Education’ (CIHE) at Boston College, USA</w:t>
      </w:r>
    </w:p>
    <w:p w14:paraId="693AC986" w14:textId="1F351DAD" w:rsidR="001D0E3A" w:rsidRPr="00907794" w:rsidRDefault="001D0E3A" w:rsidP="00E4611B">
      <w:pPr>
        <w:numPr>
          <w:ilvl w:val="0"/>
          <w:numId w:val="8"/>
        </w:numPr>
        <w:shd w:val="clear" w:color="auto" w:fill="FFFFFF"/>
        <w:spacing w:after="0" w:line="300" w:lineRule="atLeast"/>
        <w:ind w:left="426" w:right="-257"/>
        <w:jc w:val="both"/>
        <w:rPr>
          <w:rFonts w:eastAsia="Times New Roman"/>
          <w:color w:val="000000"/>
          <w:lang w:val="en-US"/>
        </w:rPr>
      </w:pPr>
      <w:r w:rsidRPr="001D0E3A">
        <w:rPr>
          <w:rFonts w:cs="Calibri"/>
          <w:b/>
          <w:bCs/>
          <w:color w:val="000000"/>
          <w:lang w:val="en-US"/>
        </w:rPr>
        <w:t>Ellen Hazelkorn</w:t>
      </w:r>
      <w:r>
        <w:rPr>
          <w:rFonts w:cs="Calibri"/>
          <w:bCs/>
          <w:color w:val="000000"/>
          <w:lang w:val="en-US"/>
        </w:rPr>
        <w:t xml:space="preserve"> – Director</w:t>
      </w:r>
      <w:r w:rsidRPr="001D0E3A">
        <w:rPr>
          <w:rFonts w:eastAsia="Times New Roman"/>
          <w:color w:val="000000"/>
          <w:lang w:val="en-US"/>
        </w:rPr>
        <w:t>, Higher Education Policy Research Unit (HEPRU), Dublin Institute of Technology</w:t>
      </w:r>
    </w:p>
    <w:p w14:paraId="2B80BA64" w14:textId="2D167606" w:rsidR="00161481" w:rsidRPr="00161481" w:rsidRDefault="00161481" w:rsidP="000755A0">
      <w:pPr>
        <w:numPr>
          <w:ilvl w:val="0"/>
          <w:numId w:val="8"/>
        </w:numPr>
        <w:spacing w:after="0"/>
        <w:ind w:left="426" w:right="-257"/>
        <w:jc w:val="both"/>
        <w:rPr>
          <w:rFonts w:cs="Calibri"/>
          <w:bCs/>
          <w:color w:val="000000"/>
          <w:lang w:val="en-US"/>
        </w:rPr>
      </w:pPr>
      <w:r w:rsidRPr="00515E68">
        <w:rPr>
          <w:rFonts w:cs="Calibri"/>
          <w:b/>
          <w:bCs/>
          <w:color w:val="000000"/>
          <w:lang w:val="en-US"/>
        </w:rPr>
        <w:t>Hilligje van’t Land</w:t>
      </w:r>
      <w:r>
        <w:rPr>
          <w:rFonts w:cs="Calibri"/>
          <w:bCs/>
          <w:color w:val="000000"/>
          <w:lang w:val="en-US"/>
        </w:rPr>
        <w:t xml:space="preserve"> – Secretary General, International Association of Universities (IAU)</w:t>
      </w:r>
    </w:p>
    <w:p w14:paraId="21774389" w14:textId="77777777" w:rsidR="000755A0" w:rsidRPr="00907794" w:rsidRDefault="000755A0" w:rsidP="000755A0">
      <w:pPr>
        <w:numPr>
          <w:ilvl w:val="0"/>
          <w:numId w:val="8"/>
        </w:numPr>
        <w:spacing w:after="0"/>
        <w:ind w:left="426" w:right="-257"/>
        <w:jc w:val="both"/>
        <w:rPr>
          <w:rFonts w:cs="Calibri"/>
          <w:bCs/>
          <w:color w:val="000000"/>
          <w:lang w:val="en-US"/>
        </w:rPr>
      </w:pPr>
      <w:r w:rsidRPr="00907794">
        <w:rPr>
          <w:rFonts w:cs="Calibri"/>
          <w:b/>
          <w:bCs/>
          <w:color w:val="000000"/>
          <w:lang w:val="en-US"/>
        </w:rPr>
        <w:t>Manja Klemencic</w:t>
      </w:r>
      <w:r w:rsidRPr="00907794">
        <w:rPr>
          <w:rFonts w:cs="Calibri"/>
          <w:bCs/>
          <w:color w:val="000000"/>
          <w:lang w:val="en-US"/>
        </w:rPr>
        <w:t xml:space="preserve"> – Postdoctoral Fellow in Sociology, Department of Sociology, FAS, Harvard University,</w:t>
      </w:r>
      <w:r w:rsidRPr="00907794">
        <w:rPr>
          <w:color w:val="000000"/>
          <w:lang w:val="en-US"/>
        </w:rPr>
        <w:t xml:space="preserve"> </w:t>
      </w:r>
      <w:r w:rsidRPr="00161481">
        <w:rPr>
          <w:rFonts w:cs="Calibri"/>
          <w:bCs/>
          <w:color w:val="000000"/>
          <w:lang w:val="en-US"/>
        </w:rPr>
        <w:t>Editor-in-Chief, European Journal of Higher Education</w:t>
      </w:r>
      <w:r w:rsidRPr="00907794">
        <w:rPr>
          <w:rFonts w:cs="Calibri"/>
          <w:bCs/>
          <w:color w:val="000000"/>
          <w:lang w:val="en-US"/>
        </w:rPr>
        <w:t xml:space="preserve"> </w:t>
      </w:r>
    </w:p>
    <w:p w14:paraId="1CBC6922" w14:textId="77777777" w:rsidR="000755A0" w:rsidRPr="00907794" w:rsidRDefault="000755A0" w:rsidP="000755A0">
      <w:pPr>
        <w:numPr>
          <w:ilvl w:val="0"/>
          <w:numId w:val="8"/>
        </w:numPr>
        <w:spacing w:after="0"/>
        <w:ind w:left="426" w:right="-257"/>
        <w:jc w:val="both"/>
        <w:rPr>
          <w:rFonts w:cs="Calibri"/>
          <w:bCs/>
          <w:color w:val="000000"/>
          <w:lang w:val="en-US"/>
        </w:rPr>
      </w:pPr>
      <w:r w:rsidRPr="00907794">
        <w:rPr>
          <w:rFonts w:cs="Calibri"/>
          <w:b/>
          <w:bCs/>
          <w:color w:val="000000"/>
          <w:lang w:val="en-US"/>
        </w:rPr>
        <w:t>Jan Sadlak -</w:t>
      </w:r>
      <w:r w:rsidRPr="00907794">
        <w:rPr>
          <w:rFonts w:cs="Calibri"/>
          <w:bCs/>
          <w:color w:val="000000"/>
          <w:lang w:val="en-US"/>
        </w:rPr>
        <w:t xml:space="preserve"> President of the IREG Observatory on Academic Ranking and Excellence</w:t>
      </w:r>
    </w:p>
    <w:p w14:paraId="1F5EA232" w14:textId="5D783369" w:rsidR="00DF7704" w:rsidRPr="00E4611B" w:rsidRDefault="000755A0" w:rsidP="00E4611B">
      <w:pPr>
        <w:numPr>
          <w:ilvl w:val="0"/>
          <w:numId w:val="8"/>
        </w:numPr>
        <w:spacing w:after="0"/>
        <w:ind w:left="426" w:right="-257"/>
        <w:jc w:val="both"/>
        <w:rPr>
          <w:rFonts w:cs="Calibri"/>
          <w:bCs/>
          <w:color w:val="000000"/>
          <w:lang w:val="en-US"/>
        </w:rPr>
      </w:pPr>
      <w:r w:rsidRPr="00907794">
        <w:rPr>
          <w:rFonts w:cs="Calibri"/>
          <w:b/>
          <w:bCs/>
          <w:color w:val="000000"/>
          <w:lang w:val="en-US"/>
        </w:rPr>
        <w:t xml:space="preserve">Sjur Bergan </w:t>
      </w:r>
      <w:r w:rsidR="00161481">
        <w:rPr>
          <w:rFonts w:cs="Calibri"/>
          <w:b/>
          <w:bCs/>
          <w:color w:val="000000"/>
          <w:lang w:val="en-US"/>
        </w:rPr>
        <w:t>–</w:t>
      </w:r>
      <w:r w:rsidRPr="00907794">
        <w:rPr>
          <w:rFonts w:cs="Calibri"/>
          <w:b/>
          <w:bCs/>
          <w:color w:val="000000"/>
          <w:lang w:val="en-US"/>
        </w:rPr>
        <w:t xml:space="preserve"> </w:t>
      </w:r>
      <w:r w:rsidRPr="00907794">
        <w:rPr>
          <w:rFonts w:cs="Courier New"/>
          <w:color w:val="000000"/>
          <w:lang w:val="en-US"/>
        </w:rPr>
        <w:t>Head of the Education Department</w:t>
      </w:r>
      <w:r w:rsidRPr="00907794">
        <w:rPr>
          <w:color w:val="000000"/>
          <w:lang w:val="en-US"/>
        </w:rPr>
        <w:t xml:space="preserve">, </w:t>
      </w:r>
      <w:r w:rsidRPr="00907794">
        <w:rPr>
          <w:rFonts w:cs="Courier New"/>
          <w:color w:val="000000"/>
          <w:lang w:val="en-US"/>
        </w:rPr>
        <w:t>Directorate of Democratic Citizenship and Participation</w:t>
      </w:r>
      <w:r w:rsidRPr="00907794">
        <w:rPr>
          <w:color w:val="000000"/>
          <w:lang w:val="en-US"/>
        </w:rPr>
        <w:t xml:space="preserve">, </w:t>
      </w:r>
      <w:r w:rsidRPr="00907794">
        <w:rPr>
          <w:rFonts w:cs="Courier New"/>
          <w:color w:val="000000"/>
          <w:lang w:val="en-US"/>
        </w:rPr>
        <w:t>Council of Europe</w:t>
      </w:r>
    </w:p>
    <w:p w14:paraId="4E562EC1" w14:textId="3A1E7C02" w:rsidR="000755A0" w:rsidRPr="00907794" w:rsidRDefault="0032523F" w:rsidP="00E4611B">
      <w:pPr>
        <w:numPr>
          <w:ilvl w:val="0"/>
          <w:numId w:val="8"/>
        </w:numPr>
        <w:shd w:val="clear" w:color="auto" w:fill="FFFFFF"/>
        <w:spacing w:after="0" w:line="300" w:lineRule="atLeast"/>
        <w:ind w:left="426" w:right="-257"/>
        <w:jc w:val="both"/>
        <w:rPr>
          <w:rFonts w:eastAsia="Times New Roman"/>
          <w:b/>
          <w:color w:val="000000"/>
          <w:lang w:val="en-US"/>
        </w:rPr>
      </w:pPr>
      <w:r>
        <w:rPr>
          <w:rFonts w:eastAsia="Times New Roman"/>
          <w:b/>
          <w:bCs/>
          <w:color w:val="000000"/>
          <w:lang w:val="en-US"/>
        </w:rPr>
        <w:t>Adrian Curaj</w:t>
      </w:r>
      <w:r w:rsidR="000755A0" w:rsidRPr="00907794">
        <w:rPr>
          <w:rFonts w:eastAsia="Times New Roman"/>
          <w:b/>
          <w:color w:val="000000"/>
          <w:lang w:val="en-US"/>
        </w:rPr>
        <w:t> </w:t>
      </w:r>
      <w:r w:rsidR="00161481">
        <w:rPr>
          <w:rFonts w:eastAsia="Times New Roman"/>
          <w:b/>
          <w:color w:val="000000"/>
          <w:lang w:val="en-US"/>
        </w:rPr>
        <w:t>–</w:t>
      </w:r>
      <w:r w:rsidR="000755A0" w:rsidRPr="00907794">
        <w:rPr>
          <w:rFonts w:eastAsia="Times New Roman"/>
          <w:b/>
          <w:color w:val="000000"/>
          <w:lang w:val="en-US"/>
        </w:rPr>
        <w:t xml:space="preserve"> </w:t>
      </w:r>
      <w:r w:rsidR="000755A0" w:rsidRPr="00161481">
        <w:rPr>
          <w:rFonts w:eastAsia="Times New Roman"/>
          <w:color w:val="000000"/>
          <w:lang w:val="en-US"/>
        </w:rPr>
        <w:t>Executive Agency for Higher Education, Research, Development and Innovation Funding (UEFISCDI)</w:t>
      </w:r>
    </w:p>
    <w:p w14:paraId="5B4C7D26" w14:textId="60156136" w:rsidR="000755A0" w:rsidRDefault="000755A0" w:rsidP="000755A0">
      <w:pPr>
        <w:numPr>
          <w:ilvl w:val="0"/>
          <w:numId w:val="8"/>
        </w:numPr>
        <w:shd w:val="clear" w:color="auto" w:fill="FFFFFF"/>
        <w:spacing w:after="0" w:line="300" w:lineRule="atLeast"/>
        <w:ind w:left="426" w:right="-257"/>
        <w:jc w:val="both"/>
        <w:rPr>
          <w:rFonts w:eastAsia="Times New Roman"/>
          <w:color w:val="000000"/>
          <w:lang w:val="en-US"/>
        </w:rPr>
      </w:pPr>
      <w:r w:rsidRPr="00907794">
        <w:rPr>
          <w:rFonts w:eastAsia="Times New Roman"/>
          <w:b/>
          <w:bCs/>
          <w:color w:val="000000"/>
          <w:lang w:val="en-US"/>
        </w:rPr>
        <w:t>Ligia Deca</w:t>
      </w:r>
      <w:r w:rsidRPr="00907794">
        <w:rPr>
          <w:rFonts w:eastAsia="Times New Roman"/>
          <w:color w:val="000000"/>
          <w:lang w:val="en-US"/>
        </w:rPr>
        <w:t> </w:t>
      </w:r>
      <w:r w:rsidR="00161481">
        <w:rPr>
          <w:rFonts w:eastAsia="Times New Roman"/>
          <w:color w:val="000000"/>
          <w:lang w:val="en-US"/>
        </w:rPr>
        <w:t>–</w:t>
      </w:r>
      <w:r w:rsidRPr="00907794">
        <w:rPr>
          <w:rFonts w:eastAsia="Times New Roman"/>
          <w:color w:val="000000"/>
          <w:lang w:val="en-US"/>
        </w:rPr>
        <w:t xml:space="preserve"> </w:t>
      </w:r>
      <w:r w:rsidR="00DF7704" w:rsidRPr="00907794">
        <w:rPr>
          <w:rFonts w:eastAsia="Times New Roman"/>
          <w:color w:val="000000"/>
          <w:lang w:val="en-US"/>
        </w:rPr>
        <w:t>Advisor for Education, Presidential Administration</w:t>
      </w:r>
    </w:p>
    <w:p w14:paraId="018575C0" w14:textId="7C8BD562" w:rsidR="00337289" w:rsidRPr="00161481" w:rsidRDefault="00427A1D" w:rsidP="00337289">
      <w:pPr>
        <w:numPr>
          <w:ilvl w:val="0"/>
          <w:numId w:val="8"/>
        </w:numPr>
        <w:shd w:val="clear" w:color="auto" w:fill="FFFFFF"/>
        <w:spacing w:after="0" w:line="300" w:lineRule="atLeast"/>
        <w:ind w:left="426" w:right="-257"/>
        <w:jc w:val="both"/>
        <w:rPr>
          <w:rFonts w:eastAsia="Times New Roman"/>
          <w:color w:val="000000"/>
          <w:lang w:val="en-US"/>
        </w:rPr>
      </w:pPr>
      <w:r w:rsidRPr="00337289">
        <w:rPr>
          <w:rFonts w:eastAsia="Times New Roman"/>
          <w:b/>
          <w:color w:val="000000"/>
          <w:lang w:val="en-US"/>
        </w:rPr>
        <w:t>Ulrich</w:t>
      </w:r>
      <w:r w:rsidR="00337289" w:rsidRPr="00337289">
        <w:rPr>
          <w:rFonts w:eastAsia="Times New Roman"/>
          <w:b/>
          <w:color w:val="000000"/>
          <w:lang w:val="en-US"/>
        </w:rPr>
        <w:t xml:space="preserve"> Teichler </w:t>
      </w:r>
      <w:r w:rsidR="00161481">
        <w:rPr>
          <w:rFonts w:eastAsia="Times New Roman"/>
          <w:color w:val="000000"/>
          <w:lang w:val="en-US"/>
        </w:rPr>
        <w:t>–</w:t>
      </w:r>
      <w:r w:rsidR="00337289" w:rsidRPr="00161481">
        <w:rPr>
          <w:rFonts w:eastAsia="Times New Roman"/>
          <w:color w:val="000000"/>
          <w:lang w:val="en-US"/>
        </w:rPr>
        <w:t xml:space="preserve"> Internatio</w:t>
      </w:r>
      <w:r w:rsidR="00161481">
        <w:rPr>
          <w:rFonts w:eastAsia="Times New Roman"/>
          <w:color w:val="000000"/>
          <w:lang w:val="en-US"/>
        </w:rPr>
        <w:t>n</w:t>
      </w:r>
      <w:r w:rsidR="00337289" w:rsidRPr="00161481">
        <w:rPr>
          <w:rFonts w:eastAsia="Times New Roman"/>
          <w:color w:val="000000"/>
          <w:lang w:val="en-US"/>
        </w:rPr>
        <w:t>al Centre for Higher Education Research (INCHER-Kassel)</w:t>
      </w:r>
    </w:p>
    <w:p w14:paraId="719B552C" w14:textId="4C3E2ECF" w:rsidR="00F10DEF" w:rsidRPr="009A21DC" w:rsidRDefault="0059680F" w:rsidP="00F10DEF">
      <w:pPr>
        <w:numPr>
          <w:ilvl w:val="0"/>
          <w:numId w:val="8"/>
        </w:numPr>
        <w:shd w:val="clear" w:color="auto" w:fill="FFFFFF"/>
        <w:spacing w:after="0" w:line="300" w:lineRule="atLeast"/>
        <w:ind w:left="426" w:right="-257"/>
        <w:jc w:val="both"/>
        <w:rPr>
          <w:rFonts w:eastAsia="Times New Roman"/>
          <w:color w:val="000000" w:themeColor="text1"/>
          <w:lang w:val="en-US"/>
        </w:rPr>
      </w:pPr>
      <w:r w:rsidRPr="009A21DC">
        <w:rPr>
          <w:rFonts w:eastAsia="Times New Roman"/>
          <w:b/>
          <w:color w:val="000000" w:themeColor="text1"/>
          <w:lang w:val="en-US"/>
        </w:rPr>
        <w:t>Fernando Galvan Reula</w:t>
      </w:r>
      <w:r w:rsidR="00D12115">
        <w:rPr>
          <w:rFonts w:eastAsia="Times New Roman"/>
          <w:b/>
          <w:color w:val="000000" w:themeColor="text1"/>
          <w:lang w:val="en-US"/>
        </w:rPr>
        <w:t xml:space="preserve"> </w:t>
      </w:r>
      <w:r w:rsidR="00D12115">
        <w:rPr>
          <w:rFonts w:eastAsia="Times New Roman"/>
          <w:color w:val="000000" w:themeColor="text1"/>
          <w:lang w:val="en-US"/>
        </w:rPr>
        <w:t>–</w:t>
      </w:r>
      <w:r w:rsidRPr="009A21DC">
        <w:rPr>
          <w:rFonts w:eastAsia="Times New Roman"/>
          <w:color w:val="000000" w:themeColor="text1"/>
          <w:lang w:val="en-US"/>
        </w:rPr>
        <w:t xml:space="preserve"> </w:t>
      </w:r>
      <w:r w:rsidR="00427A1D" w:rsidRPr="009A21DC">
        <w:rPr>
          <w:rFonts w:eastAsia="Times New Roman"/>
          <w:color w:val="000000" w:themeColor="text1"/>
          <w:lang w:val="en-US"/>
        </w:rPr>
        <w:t xml:space="preserve">Rector </w:t>
      </w:r>
      <w:r w:rsidRPr="009A21DC">
        <w:rPr>
          <w:rFonts w:eastAsia="Times New Roman"/>
          <w:color w:val="000000" w:themeColor="text1"/>
          <w:lang w:val="en-US"/>
        </w:rPr>
        <w:t xml:space="preserve">of the University of </w:t>
      </w:r>
      <w:r w:rsidR="00427A1D" w:rsidRPr="009A21DC">
        <w:rPr>
          <w:rFonts w:eastAsia="Times New Roman"/>
          <w:color w:val="000000" w:themeColor="text1"/>
          <w:lang w:val="en-US"/>
        </w:rPr>
        <w:t>Alcala</w:t>
      </w:r>
      <w:r w:rsidR="0032523F" w:rsidRPr="009A21DC">
        <w:rPr>
          <w:rFonts w:eastAsia="Times New Roman"/>
          <w:color w:val="000000" w:themeColor="text1"/>
          <w:lang w:val="en-US"/>
        </w:rPr>
        <w:t>; P</w:t>
      </w:r>
      <w:r w:rsidRPr="009A21DC">
        <w:rPr>
          <w:rFonts w:eastAsia="Times New Roman"/>
          <w:color w:val="000000" w:themeColor="text1"/>
          <w:lang w:val="en-US"/>
        </w:rPr>
        <w:t>reside</w:t>
      </w:r>
      <w:r w:rsidR="0032523F" w:rsidRPr="009A21DC">
        <w:rPr>
          <w:rFonts w:eastAsia="Times New Roman"/>
          <w:color w:val="000000" w:themeColor="text1"/>
          <w:lang w:val="en-US"/>
        </w:rPr>
        <w:t>n</w:t>
      </w:r>
      <w:r w:rsidRPr="009A21DC">
        <w:rPr>
          <w:rFonts w:eastAsia="Times New Roman"/>
          <w:color w:val="000000" w:themeColor="text1"/>
          <w:lang w:val="en-US"/>
        </w:rPr>
        <w:t>t of the permanent Academic Forum EU-LAC &amp; Caribbean</w:t>
      </w:r>
      <w:r w:rsidR="00F10DEF" w:rsidRPr="009A21DC">
        <w:rPr>
          <w:rFonts w:eastAsia="Times New Roman"/>
          <w:color w:val="000000" w:themeColor="text1"/>
          <w:lang w:val="en-US"/>
        </w:rPr>
        <w:t xml:space="preserve"> </w:t>
      </w:r>
    </w:p>
    <w:p w14:paraId="26CA985A" w14:textId="77777777" w:rsidR="00427A1D" w:rsidRPr="00427A1D" w:rsidRDefault="00427A1D" w:rsidP="00907977">
      <w:pPr>
        <w:shd w:val="clear" w:color="auto" w:fill="FFFFFF"/>
        <w:spacing w:after="0" w:line="300" w:lineRule="atLeast"/>
        <w:ind w:right="-257"/>
        <w:jc w:val="both"/>
        <w:rPr>
          <w:rFonts w:eastAsia="Times New Roman"/>
          <w:color w:val="000000"/>
          <w:lang w:val="en-US"/>
        </w:rPr>
      </w:pPr>
    </w:p>
    <w:p w14:paraId="2529C77E" w14:textId="64CD1A8F" w:rsidR="00FC6820" w:rsidRPr="00161481" w:rsidRDefault="000755A0" w:rsidP="00CB16BA">
      <w:pPr>
        <w:pStyle w:val="Heading2"/>
        <w:ind w:firstLine="0"/>
        <w:rPr>
          <w:i/>
          <w:sz w:val="26"/>
        </w:rPr>
      </w:pPr>
      <w:r w:rsidRPr="00161481">
        <w:rPr>
          <w:i/>
          <w:sz w:val="26"/>
        </w:rPr>
        <w:t xml:space="preserve">Editorial Board (see list on page </w:t>
      </w:r>
      <w:r w:rsidR="00DF7704" w:rsidRPr="00161481">
        <w:rPr>
          <w:i/>
          <w:sz w:val="26"/>
        </w:rPr>
        <w:t>4</w:t>
      </w:r>
      <w:r w:rsidRPr="00161481">
        <w:rPr>
          <w:i/>
          <w:sz w:val="26"/>
        </w:rPr>
        <w:t>)</w:t>
      </w:r>
      <w:r w:rsidR="00161481" w:rsidRPr="00161481">
        <w:rPr>
          <w:i/>
          <w:sz w:val="26"/>
        </w:rPr>
        <w:t xml:space="preserve"> </w:t>
      </w:r>
    </w:p>
    <w:p w14:paraId="28BFE551" w14:textId="77777777" w:rsidR="00161481" w:rsidRPr="00161481" w:rsidRDefault="00161481" w:rsidP="00161481">
      <w:pPr>
        <w:rPr>
          <w:lang w:val="en-US"/>
        </w:rPr>
      </w:pPr>
    </w:p>
    <w:p w14:paraId="4211658C" w14:textId="77777777" w:rsidR="000755A0" w:rsidRPr="00161481" w:rsidRDefault="000755A0" w:rsidP="00FC6820">
      <w:pPr>
        <w:pStyle w:val="Heading2"/>
        <w:ind w:firstLine="0"/>
        <w:rPr>
          <w:i/>
          <w:sz w:val="26"/>
        </w:rPr>
      </w:pPr>
      <w:r w:rsidRPr="00161481">
        <w:rPr>
          <w:i/>
          <w:sz w:val="26"/>
        </w:rPr>
        <w:t>Editors of the future research volumes:</w:t>
      </w:r>
    </w:p>
    <w:p w14:paraId="1410E475" w14:textId="77777777" w:rsidR="00907977" w:rsidRPr="00FC6820" w:rsidRDefault="00907977" w:rsidP="00FC6820">
      <w:pPr>
        <w:pStyle w:val="Heading3"/>
        <w:rPr>
          <w:rFonts w:asciiTheme="minorHAnsi" w:hAnsiTheme="minorHAnsi" w:cstheme="minorHAnsi"/>
          <w:b/>
          <w:bCs/>
          <w:color w:val="000000"/>
          <w:sz w:val="22"/>
          <w:szCs w:val="22"/>
          <w:lang w:val="en-US"/>
        </w:rPr>
      </w:pPr>
      <w:r w:rsidRPr="00FC6820">
        <w:rPr>
          <w:rFonts w:asciiTheme="minorHAnsi" w:hAnsiTheme="minorHAnsi" w:cstheme="minorHAnsi"/>
          <w:b/>
          <w:bCs/>
          <w:color w:val="000000"/>
          <w:sz w:val="22"/>
          <w:szCs w:val="22"/>
          <w:lang w:val="en-US"/>
        </w:rPr>
        <w:t>Editors:</w:t>
      </w:r>
    </w:p>
    <w:p w14:paraId="30717331" w14:textId="67190D94" w:rsidR="000755A0" w:rsidRPr="00FC6820" w:rsidRDefault="000755A0" w:rsidP="00907977">
      <w:pPr>
        <w:spacing w:after="0"/>
        <w:ind w:left="426" w:right="-257"/>
        <w:jc w:val="both"/>
        <w:rPr>
          <w:rFonts w:asciiTheme="minorHAnsi" w:hAnsiTheme="minorHAnsi" w:cstheme="minorHAnsi"/>
          <w:b/>
          <w:bCs/>
          <w:color w:val="000000"/>
          <w:lang w:val="en-US"/>
        </w:rPr>
      </w:pPr>
      <w:r w:rsidRPr="00FC6820">
        <w:rPr>
          <w:rFonts w:asciiTheme="minorHAnsi" w:hAnsiTheme="minorHAnsi" w:cstheme="minorHAnsi"/>
          <w:b/>
          <w:bCs/>
          <w:color w:val="000000"/>
          <w:lang w:val="en-US"/>
        </w:rPr>
        <w:t>Remus Pricopie</w:t>
      </w:r>
    </w:p>
    <w:p w14:paraId="7F76ACE6" w14:textId="77777777" w:rsidR="00907977" w:rsidRPr="00FC6820" w:rsidRDefault="00907977" w:rsidP="00FC6820">
      <w:pPr>
        <w:spacing w:after="0"/>
        <w:ind w:left="426" w:right="-257"/>
        <w:jc w:val="both"/>
        <w:rPr>
          <w:rFonts w:asciiTheme="minorHAnsi" w:hAnsiTheme="minorHAnsi" w:cstheme="minorHAnsi"/>
          <w:b/>
          <w:bCs/>
          <w:color w:val="000000"/>
          <w:lang w:val="en-US"/>
        </w:rPr>
      </w:pPr>
      <w:r w:rsidRPr="00FC6820">
        <w:rPr>
          <w:rFonts w:asciiTheme="minorHAnsi" w:hAnsiTheme="minorHAnsi" w:cstheme="minorHAnsi"/>
          <w:b/>
          <w:bCs/>
          <w:color w:val="000000"/>
          <w:lang w:val="en-US"/>
        </w:rPr>
        <w:t>Ligia Deca</w:t>
      </w:r>
    </w:p>
    <w:p w14:paraId="73E28A14" w14:textId="667A0100" w:rsidR="00E03CA6" w:rsidRPr="00FC6820" w:rsidRDefault="000755A0" w:rsidP="00907977">
      <w:pPr>
        <w:shd w:val="clear" w:color="auto" w:fill="FFFFFF"/>
        <w:spacing w:after="0" w:line="240" w:lineRule="auto"/>
        <w:ind w:left="426" w:right="-257"/>
        <w:jc w:val="both"/>
        <w:rPr>
          <w:rFonts w:asciiTheme="minorHAnsi" w:hAnsiTheme="minorHAnsi" w:cstheme="minorHAnsi"/>
          <w:b/>
          <w:bCs/>
          <w:lang w:val="en-US"/>
        </w:rPr>
      </w:pPr>
      <w:r w:rsidRPr="00FC6820">
        <w:rPr>
          <w:rFonts w:asciiTheme="minorHAnsi" w:hAnsiTheme="minorHAnsi" w:cstheme="minorHAnsi"/>
          <w:b/>
          <w:bCs/>
          <w:color w:val="000000"/>
          <w:lang w:val="en-US"/>
        </w:rPr>
        <w:t>Adrian Curaj</w:t>
      </w:r>
    </w:p>
    <w:p w14:paraId="40D8530C" w14:textId="77777777" w:rsidR="009A21DC" w:rsidRPr="00FC6820" w:rsidRDefault="009A21DC" w:rsidP="00907977">
      <w:pPr>
        <w:shd w:val="clear" w:color="auto" w:fill="FFFFFF"/>
        <w:spacing w:after="0" w:line="240" w:lineRule="auto"/>
        <w:ind w:right="-257"/>
        <w:jc w:val="both"/>
        <w:rPr>
          <w:rFonts w:asciiTheme="minorHAnsi" w:hAnsiTheme="minorHAnsi" w:cstheme="minorHAnsi"/>
          <w:bCs/>
          <w:i/>
          <w:color w:val="000000"/>
          <w:lang w:val="en-US"/>
        </w:rPr>
      </w:pPr>
    </w:p>
    <w:p w14:paraId="11FD6BD0" w14:textId="77777777" w:rsidR="00907977" w:rsidRPr="00FC6820" w:rsidRDefault="00907977" w:rsidP="00FC6820">
      <w:pPr>
        <w:pStyle w:val="Heading3"/>
        <w:rPr>
          <w:rFonts w:asciiTheme="minorHAnsi" w:hAnsiTheme="minorHAnsi" w:cstheme="minorHAnsi"/>
          <w:bCs/>
          <w:color w:val="000000"/>
          <w:sz w:val="22"/>
          <w:szCs w:val="22"/>
          <w:lang w:val="en-US"/>
        </w:rPr>
      </w:pPr>
      <w:r w:rsidRPr="00FC6820">
        <w:rPr>
          <w:rFonts w:asciiTheme="minorHAnsi" w:hAnsiTheme="minorHAnsi" w:cstheme="minorHAnsi"/>
          <w:bCs/>
          <w:i/>
          <w:color w:val="000000"/>
          <w:sz w:val="22"/>
          <w:szCs w:val="22"/>
          <w:lang w:val="en-US"/>
        </w:rPr>
        <w:t>Co-editors</w:t>
      </w:r>
      <w:r w:rsidRPr="00FC6820">
        <w:rPr>
          <w:rFonts w:asciiTheme="minorHAnsi" w:hAnsiTheme="minorHAnsi" w:cstheme="minorHAnsi"/>
          <w:bCs/>
          <w:color w:val="000000"/>
          <w:sz w:val="22"/>
          <w:szCs w:val="22"/>
          <w:lang w:val="en-US"/>
        </w:rPr>
        <w:t>:</w:t>
      </w:r>
    </w:p>
    <w:p w14:paraId="4F2258BA" w14:textId="73B2B288" w:rsidR="00F10DEF" w:rsidRPr="00FC6820" w:rsidRDefault="00F10DEF" w:rsidP="00FC6820">
      <w:pPr>
        <w:spacing w:after="0"/>
        <w:ind w:left="426" w:right="-257"/>
        <w:jc w:val="both"/>
        <w:rPr>
          <w:rFonts w:asciiTheme="minorHAnsi" w:hAnsiTheme="minorHAnsi" w:cstheme="minorHAnsi"/>
          <w:b/>
          <w:bCs/>
          <w:color w:val="000000"/>
          <w:lang w:val="en-US"/>
        </w:rPr>
      </w:pPr>
      <w:r w:rsidRPr="00FC6820">
        <w:rPr>
          <w:rFonts w:asciiTheme="minorHAnsi" w:hAnsiTheme="minorHAnsi" w:cstheme="minorHAnsi"/>
          <w:b/>
          <w:bCs/>
          <w:color w:val="000000"/>
          <w:lang w:val="en-US"/>
        </w:rPr>
        <w:t>Jamil Salmi</w:t>
      </w:r>
    </w:p>
    <w:p w14:paraId="1FAC53F6" w14:textId="1A59F5EB" w:rsidR="00EE7335" w:rsidRPr="00FC6820" w:rsidRDefault="00FB4BB3" w:rsidP="00FC6820">
      <w:pPr>
        <w:spacing w:after="0"/>
        <w:ind w:left="426" w:right="-257"/>
        <w:jc w:val="both"/>
        <w:rPr>
          <w:rFonts w:asciiTheme="minorHAnsi" w:hAnsiTheme="minorHAnsi" w:cstheme="minorHAnsi"/>
          <w:b/>
          <w:bCs/>
          <w:color w:val="000000"/>
          <w:lang w:val="en-US"/>
        </w:rPr>
      </w:pPr>
      <w:r w:rsidRPr="00FC6820">
        <w:rPr>
          <w:rFonts w:asciiTheme="minorHAnsi" w:hAnsiTheme="minorHAnsi" w:cstheme="minorHAnsi"/>
          <w:b/>
          <w:bCs/>
          <w:color w:val="000000"/>
          <w:lang w:val="en-US"/>
        </w:rPr>
        <w:t>Hans de Wit</w:t>
      </w:r>
    </w:p>
    <w:p w14:paraId="091362B0" w14:textId="553C2FF3" w:rsidR="00907977" w:rsidRPr="00FC6820" w:rsidRDefault="00907977" w:rsidP="00FC6820">
      <w:pPr>
        <w:spacing w:after="0"/>
        <w:ind w:left="426" w:right="-257"/>
        <w:jc w:val="both"/>
        <w:rPr>
          <w:rFonts w:asciiTheme="minorHAnsi" w:hAnsiTheme="minorHAnsi" w:cstheme="minorHAnsi"/>
          <w:b/>
          <w:bCs/>
          <w:color w:val="000000"/>
          <w:lang w:val="en-US"/>
        </w:rPr>
      </w:pPr>
      <w:r w:rsidRPr="00FC6820">
        <w:rPr>
          <w:rFonts w:asciiTheme="minorHAnsi" w:hAnsiTheme="minorHAnsi" w:cstheme="minorHAnsi"/>
          <w:b/>
          <w:bCs/>
          <w:color w:val="000000"/>
          <w:lang w:val="en-US"/>
        </w:rPr>
        <w:t>Liviu Matei</w:t>
      </w:r>
    </w:p>
    <w:p w14:paraId="7BBE3B6C" w14:textId="4BFA8722" w:rsidR="00907977" w:rsidRPr="00FC6820" w:rsidRDefault="00907977" w:rsidP="00FC6820">
      <w:pPr>
        <w:spacing w:after="0"/>
        <w:ind w:left="426" w:right="-257"/>
        <w:jc w:val="both"/>
        <w:rPr>
          <w:rFonts w:asciiTheme="minorHAnsi" w:hAnsiTheme="minorHAnsi" w:cstheme="minorHAnsi"/>
          <w:b/>
          <w:bCs/>
          <w:color w:val="000000"/>
          <w:lang w:val="en-US"/>
        </w:rPr>
      </w:pPr>
      <w:r w:rsidRPr="00FC6820">
        <w:rPr>
          <w:rFonts w:asciiTheme="minorHAnsi" w:hAnsiTheme="minorHAnsi" w:cstheme="minorHAnsi"/>
          <w:b/>
          <w:bCs/>
          <w:color w:val="000000"/>
          <w:lang w:val="en-US"/>
        </w:rPr>
        <w:t>Sjur Bergan</w:t>
      </w:r>
    </w:p>
    <w:p w14:paraId="6CD1449C" w14:textId="092E487A" w:rsidR="00AA20C1" w:rsidRDefault="00907977" w:rsidP="00CB16BA">
      <w:pPr>
        <w:spacing w:after="0"/>
        <w:ind w:left="426" w:right="-257"/>
        <w:jc w:val="both"/>
        <w:rPr>
          <w:b/>
          <w:bCs/>
          <w:lang w:val="en-US"/>
        </w:rPr>
      </w:pPr>
      <w:r w:rsidRPr="00FC6820">
        <w:rPr>
          <w:rFonts w:asciiTheme="minorHAnsi" w:hAnsiTheme="minorHAnsi" w:cstheme="minorHAnsi"/>
          <w:b/>
          <w:bCs/>
          <w:color w:val="000000"/>
          <w:lang w:val="en-US"/>
        </w:rPr>
        <w:t>Ellen Hazelkorn</w:t>
      </w:r>
    </w:p>
    <w:sectPr w:rsidR="00AA20C1" w:rsidSect="006F66D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3CDD3" w14:textId="77777777" w:rsidR="00286922" w:rsidRDefault="00286922" w:rsidP="000B04EC">
      <w:pPr>
        <w:spacing w:after="0" w:line="240" w:lineRule="auto"/>
      </w:pPr>
      <w:r>
        <w:separator/>
      </w:r>
    </w:p>
  </w:endnote>
  <w:endnote w:type="continuationSeparator" w:id="0">
    <w:p w14:paraId="0A91D4AE" w14:textId="77777777" w:rsidR="00286922" w:rsidRDefault="00286922" w:rsidP="000B04EC">
      <w:pPr>
        <w:spacing w:after="0" w:line="240" w:lineRule="auto"/>
      </w:pPr>
      <w:r>
        <w:continuationSeparator/>
      </w:r>
    </w:p>
  </w:endnote>
  <w:endnote w:type="continuationNotice" w:id="1">
    <w:p w14:paraId="5CDDE583" w14:textId="77777777" w:rsidR="00286922" w:rsidRDefault="00286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BD17" w14:textId="49D8EDEB" w:rsidR="00B22531" w:rsidRDefault="00B22531">
    <w:pPr>
      <w:pStyle w:val="Footer"/>
      <w:jc w:val="right"/>
    </w:pPr>
    <w:r>
      <w:fldChar w:fldCharType="begin"/>
    </w:r>
    <w:r>
      <w:instrText xml:space="preserve"> PAGE   \* MERGEFORMAT </w:instrText>
    </w:r>
    <w:r>
      <w:fldChar w:fldCharType="separate"/>
    </w:r>
    <w:r w:rsidR="00BB537B">
      <w:rPr>
        <w:noProof/>
      </w:rPr>
      <w:t>2</w:t>
    </w:r>
    <w:r>
      <w:rPr>
        <w:noProof/>
      </w:rPr>
      <w:fldChar w:fldCharType="end"/>
    </w:r>
  </w:p>
  <w:p w14:paraId="41B9D55A" w14:textId="77777777" w:rsidR="00B22531" w:rsidRDefault="00B22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B650D" w14:textId="77777777" w:rsidR="00286922" w:rsidRDefault="00286922" w:rsidP="000B04EC">
      <w:pPr>
        <w:spacing w:after="0" w:line="240" w:lineRule="auto"/>
      </w:pPr>
      <w:r>
        <w:separator/>
      </w:r>
    </w:p>
  </w:footnote>
  <w:footnote w:type="continuationSeparator" w:id="0">
    <w:p w14:paraId="4DDC3EE4" w14:textId="77777777" w:rsidR="00286922" w:rsidRDefault="00286922" w:rsidP="000B04EC">
      <w:pPr>
        <w:spacing w:after="0" w:line="240" w:lineRule="auto"/>
      </w:pPr>
      <w:r>
        <w:continuationSeparator/>
      </w:r>
    </w:p>
  </w:footnote>
  <w:footnote w:type="continuationNotice" w:id="1">
    <w:p w14:paraId="74ADA678" w14:textId="77777777" w:rsidR="00286922" w:rsidRDefault="00286922">
      <w:pPr>
        <w:spacing w:after="0" w:line="240" w:lineRule="auto"/>
      </w:pPr>
    </w:p>
  </w:footnote>
  <w:footnote w:id="2">
    <w:p w14:paraId="4F8CF720" w14:textId="77777777" w:rsidR="00902FE9" w:rsidRPr="0037261A" w:rsidRDefault="00902FE9" w:rsidP="00902FE9">
      <w:pPr>
        <w:pStyle w:val="FootnoteText"/>
        <w:rPr>
          <w:rFonts w:asciiTheme="minorHAnsi" w:hAnsiTheme="minorHAnsi"/>
          <w:sz w:val="18"/>
          <w:szCs w:val="18"/>
          <w:lang w:val="en-GB"/>
        </w:rPr>
      </w:pPr>
      <w:r w:rsidRPr="0037261A">
        <w:rPr>
          <w:rStyle w:val="FootnoteReference"/>
          <w:rFonts w:asciiTheme="minorHAnsi" w:hAnsiTheme="minorHAnsi"/>
          <w:sz w:val="18"/>
          <w:szCs w:val="18"/>
        </w:rPr>
        <w:footnoteRef/>
      </w:r>
      <w:r w:rsidRPr="0037261A">
        <w:rPr>
          <w:rFonts w:asciiTheme="minorHAnsi" w:hAnsiTheme="minorHAnsi"/>
          <w:sz w:val="18"/>
          <w:szCs w:val="18"/>
        </w:rPr>
        <w:t xml:space="preserve"> </w:t>
      </w:r>
      <w:hyperlink r:id="rId1" w:history="1">
        <w:r w:rsidRPr="0037261A">
          <w:rPr>
            <w:rStyle w:val="Hyperlink"/>
            <w:rFonts w:asciiTheme="minorHAnsi" w:hAnsiTheme="minorHAnsi"/>
            <w:sz w:val="18"/>
            <w:szCs w:val="18"/>
          </w:rPr>
          <w:t>http://www.ehea.info/Uploads/%281%29/2012%20EHEA%20Mobility%20Strategy.pdf</w:t>
        </w:r>
      </w:hyperlink>
      <w:r w:rsidRPr="0037261A">
        <w:rPr>
          <w:rFonts w:asciiTheme="minorHAnsi" w:hAnsiTheme="minorHAnsi"/>
          <w:sz w:val="18"/>
          <w:szCs w:val="18"/>
        </w:rPr>
        <w:t xml:space="preserve"> </w:t>
      </w:r>
    </w:p>
  </w:footnote>
  <w:footnote w:id="3">
    <w:p w14:paraId="350D768E" w14:textId="09EA2FA2" w:rsidR="0037261A" w:rsidRPr="0037261A" w:rsidRDefault="0037261A">
      <w:pPr>
        <w:pStyle w:val="FootnoteText"/>
        <w:rPr>
          <w:rFonts w:asciiTheme="minorHAnsi" w:hAnsiTheme="minorHAnsi"/>
          <w:sz w:val="18"/>
          <w:szCs w:val="18"/>
          <w:lang w:val="en-US"/>
        </w:rPr>
      </w:pPr>
      <w:r w:rsidRPr="0037261A">
        <w:rPr>
          <w:rStyle w:val="FootnoteReference"/>
          <w:rFonts w:asciiTheme="minorHAnsi" w:hAnsiTheme="minorHAnsi"/>
          <w:sz w:val="18"/>
          <w:szCs w:val="18"/>
        </w:rPr>
        <w:footnoteRef/>
      </w:r>
      <w:r w:rsidRPr="0037261A">
        <w:rPr>
          <w:rFonts w:asciiTheme="minorHAnsi" w:hAnsiTheme="minorHAnsi"/>
          <w:sz w:val="18"/>
          <w:szCs w:val="18"/>
        </w:rPr>
        <w:t xml:space="preserve"> </w:t>
      </w:r>
      <w:hyperlink r:id="rId2" w:history="1">
        <w:r w:rsidRPr="0037261A">
          <w:rPr>
            <w:rStyle w:val="Hyperlink"/>
            <w:rFonts w:asciiTheme="minorHAnsi" w:hAnsiTheme="minorHAnsi"/>
            <w:sz w:val="18"/>
            <w:szCs w:val="18"/>
          </w:rPr>
          <w:t>http://www.europarl.europa.eu/RegData/etudes/STUD/2015/540370/IPOL_STU(2015)540370_EN.pdf</w:t>
        </w:r>
      </w:hyperlink>
      <w:r w:rsidRPr="0037261A">
        <w:rPr>
          <w:rFonts w:asciiTheme="minorHAnsi" w:hAnsiTheme="minorHAnsi"/>
          <w:sz w:val="18"/>
          <w:szCs w:val="18"/>
        </w:rPr>
        <w:t xml:space="preserve"> </w:t>
      </w:r>
    </w:p>
  </w:footnote>
  <w:footnote w:id="4">
    <w:p w14:paraId="65BD3C9F" w14:textId="03B67874" w:rsidR="00FC65F9" w:rsidRPr="00FC65F9" w:rsidRDefault="00FC65F9">
      <w:pPr>
        <w:pStyle w:val="FootnoteText"/>
        <w:rPr>
          <w:rFonts w:asciiTheme="minorHAnsi" w:hAnsiTheme="minorHAnsi"/>
          <w:sz w:val="18"/>
          <w:szCs w:val="18"/>
          <w:lang w:val="en-US"/>
        </w:rPr>
      </w:pPr>
      <w:r w:rsidRPr="00FC65F9">
        <w:rPr>
          <w:rStyle w:val="FootnoteReference"/>
          <w:rFonts w:asciiTheme="minorHAnsi" w:hAnsiTheme="minorHAnsi"/>
          <w:sz w:val="18"/>
          <w:szCs w:val="18"/>
        </w:rPr>
        <w:footnoteRef/>
      </w:r>
      <w:r w:rsidRPr="00FC65F9">
        <w:rPr>
          <w:rFonts w:asciiTheme="minorHAnsi" w:hAnsiTheme="minorHAnsi"/>
          <w:sz w:val="18"/>
          <w:szCs w:val="18"/>
        </w:rPr>
        <w:t xml:space="preserve"> </w:t>
      </w:r>
      <w:hyperlink r:id="rId3" w:history="1">
        <w:r w:rsidRPr="00FC65F9">
          <w:rPr>
            <w:rStyle w:val="Hyperlink"/>
            <w:rFonts w:asciiTheme="minorHAnsi" w:hAnsiTheme="minorHAnsi"/>
            <w:sz w:val="18"/>
            <w:szCs w:val="18"/>
          </w:rPr>
          <w:t>https://media.ehea.info/file/2015_Yerevan/70/7/YerevanCommuniqueFinal_613707.pdf</w:t>
        </w:r>
      </w:hyperlink>
      <w:r w:rsidRPr="00FC65F9">
        <w:rPr>
          <w:rFonts w:asciiTheme="minorHAnsi" w:hAnsiTheme="minorHAnsi"/>
          <w:sz w:val="18"/>
          <w:szCs w:val="18"/>
        </w:rPr>
        <w:t xml:space="preserve"> </w:t>
      </w:r>
    </w:p>
  </w:footnote>
  <w:footnote w:id="5">
    <w:p w14:paraId="7D193A33" w14:textId="32B3D65B" w:rsidR="00E710E2" w:rsidRPr="00E710E2" w:rsidRDefault="00E710E2">
      <w:pPr>
        <w:pStyle w:val="FootnoteText"/>
        <w:rPr>
          <w:rFonts w:asciiTheme="minorHAnsi" w:hAnsiTheme="minorHAnsi"/>
          <w:sz w:val="18"/>
          <w:szCs w:val="18"/>
          <w:lang w:val="en-US"/>
        </w:rPr>
      </w:pPr>
      <w:r w:rsidRPr="00E710E2">
        <w:rPr>
          <w:rStyle w:val="FootnoteReference"/>
          <w:rFonts w:asciiTheme="minorHAnsi" w:hAnsiTheme="minorHAnsi"/>
          <w:sz w:val="18"/>
          <w:szCs w:val="18"/>
        </w:rPr>
        <w:footnoteRef/>
      </w:r>
      <w:hyperlink r:id="rId4" w:history="1">
        <w:r w:rsidRPr="00E710E2">
          <w:rPr>
            <w:rStyle w:val="Hyperlink"/>
            <w:rFonts w:asciiTheme="minorHAnsi" w:hAnsiTheme="minorHAnsi"/>
            <w:sz w:val="18"/>
            <w:szCs w:val="18"/>
          </w:rPr>
          <w:t>https://media.ehea.info/file/2015_Yerevan/71/5/Widening_Participation_for_Equity_and_Growth_A_Strategy_for_the_Development_of_the_SD_and_LLL_in_the_EHEA_to_2020_613715.pdf</w:t>
        </w:r>
      </w:hyperlink>
      <w:r w:rsidRPr="00E710E2">
        <w:rPr>
          <w:rFonts w:asciiTheme="minorHAnsi" w:hAnsiTheme="minorHAnsi"/>
          <w:sz w:val="18"/>
          <w:szCs w:val="18"/>
        </w:rPr>
        <w:t xml:space="preserve"> </w:t>
      </w:r>
    </w:p>
  </w:footnote>
  <w:footnote w:id="6">
    <w:p w14:paraId="6A8147C3" w14:textId="2C5710E5" w:rsidR="003C50A4" w:rsidRPr="003C50A4" w:rsidRDefault="003C50A4">
      <w:pPr>
        <w:pStyle w:val="FootnoteText"/>
        <w:rPr>
          <w:rFonts w:asciiTheme="minorHAnsi" w:hAnsiTheme="minorHAnsi"/>
          <w:sz w:val="18"/>
          <w:szCs w:val="18"/>
          <w:lang w:val="en-US"/>
        </w:rPr>
      </w:pPr>
      <w:r w:rsidRPr="003C50A4">
        <w:rPr>
          <w:rStyle w:val="FootnoteReference"/>
          <w:rFonts w:asciiTheme="minorHAnsi" w:hAnsiTheme="minorHAnsi"/>
          <w:sz w:val="18"/>
          <w:szCs w:val="18"/>
        </w:rPr>
        <w:footnoteRef/>
      </w:r>
      <w:r w:rsidRPr="003C50A4">
        <w:rPr>
          <w:rFonts w:asciiTheme="minorHAnsi" w:hAnsiTheme="minorHAnsi"/>
          <w:sz w:val="18"/>
          <w:szCs w:val="18"/>
        </w:rPr>
        <w:t xml:space="preserve"> </w:t>
      </w:r>
      <w:hyperlink r:id="rId5" w:history="1">
        <w:r w:rsidRPr="003C50A4">
          <w:rPr>
            <w:rStyle w:val="Hyperlink"/>
            <w:rFonts w:asciiTheme="minorHAnsi" w:hAnsiTheme="minorHAnsi"/>
            <w:sz w:val="18"/>
            <w:szCs w:val="18"/>
          </w:rPr>
          <w:t>http://www.ehea.info/cid105402/wg-new-goals-2015-2018.html</w:t>
        </w:r>
      </w:hyperlink>
      <w:r w:rsidRPr="003C50A4">
        <w:rPr>
          <w:rFonts w:asciiTheme="minorHAnsi" w:hAnsiTheme="minorHAnsi"/>
          <w:sz w:val="18"/>
          <w:szCs w:val="18"/>
        </w:rPr>
        <w:t xml:space="preserve"> </w:t>
      </w:r>
    </w:p>
  </w:footnote>
  <w:footnote w:id="7">
    <w:p w14:paraId="13C7FF2A" w14:textId="03EC3009" w:rsidR="00907794" w:rsidRPr="00907794" w:rsidRDefault="00907794">
      <w:pPr>
        <w:pStyle w:val="FootnoteText"/>
        <w:rPr>
          <w:rFonts w:asciiTheme="minorHAnsi" w:hAnsiTheme="minorHAnsi"/>
          <w:sz w:val="18"/>
          <w:szCs w:val="18"/>
          <w:lang w:val="en-US"/>
        </w:rPr>
      </w:pPr>
      <w:r w:rsidRPr="00907794">
        <w:rPr>
          <w:rStyle w:val="FootnoteReference"/>
          <w:rFonts w:asciiTheme="minorHAnsi" w:hAnsiTheme="minorHAnsi"/>
          <w:sz w:val="18"/>
          <w:szCs w:val="18"/>
        </w:rPr>
        <w:footnoteRef/>
      </w:r>
      <w:hyperlink r:id="rId6" w:history="1">
        <w:r w:rsidRPr="00737368">
          <w:rPr>
            <w:rStyle w:val="Hyperlink"/>
            <w:rFonts w:asciiTheme="minorHAnsi" w:hAnsiTheme="minorHAnsi"/>
            <w:sz w:val="18"/>
            <w:szCs w:val="18"/>
          </w:rPr>
          <w:t>https://media.ehea.info/file/2015_Yerevan/72/7/European_Standards_and_Guidelines_for_Quality_Assurance_in_the_EHEA_2015_MC_613727.pdf</w:t>
        </w:r>
      </w:hyperlink>
      <w:r>
        <w:rPr>
          <w:rFonts w:asciiTheme="minorHAnsi" w:hAnsi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74B4A" w14:textId="57AF64F3" w:rsidR="002B1E6A" w:rsidRDefault="00D923D2" w:rsidP="00D923D2">
    <w:pPr>
      <w:pStyle w:val="Header"/>
      <w:jc w:val="center"/>
    </w:pPr>
    <w:r>
      <w:rPr>
        <w:noProof/>
        <w:lang w:eastAsia="ro-RO"/>
      </w:rPr>
      <w:drawing>
        <wp:inline distT="0" distB="0" distL="0" distR="0" wp14:anchorId="7EC099C3" wp14:editId="0D571350">
          <wp:extent cx="1947600" cy="57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HE3.png"/>
                  <pic:cNvPicPr/>
                </pic:nvPicPr>
                <pic:blipFill>
                  <a:blip r:embed="rId1">
                    <a:extLst>
                      <a:ext uri="{28A0092B-C50C-407E-A947-70E740481C1C}">
                        <a14:useLocalDpi xmlns:a14="http://schemas.microsoft.com/office/drawing/2010/main" val="0"/>
                      </a:ext>
                    </a:extLst>
                  </a:blip>
                  <a:stretch>
                    <a:fillRect/>
                  </a:stretch>
                </pic:blipFill>
                <pic:spPr>
                  <a:xfrm>
                    <a:off x="0" y="0"/>
                    <a:ext cx="1947600" cy="57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A0492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8350B"/>
    <w:multiLevelType w:val="hybridMultilevel"/>
    <w:tmpl w:val="2008518E"/>
    <w:lvl w:ilvl="0" w:tplc="1BCE3240">
      <w:start w:val="16"/>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BD44FE"/>
    <w:multiLevelType w:val="hybridMultilevel"/>
    <w:tmpl w:val="4DCE3FF0"/>
    <w:lvl w:ilvl="0" w:tplc="1AA6B45A">
      <w:start w:val="1"/>
      <w:numFmt w:val="bullet"/>
      <w:lvlText w:val="-"/>
      <w:lvlJc w:val="left"/>
      <w:pPr>
        <w:ind w:left="720" w:hanging="360"/>
      </w:pPr>
      <w:rPr>
        <w:rFonts w:ascii="Calibri" w:eastAsia="Calibri" w:hAnsi="Calibri"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3" w15:restartNumberingAfterBreak="0">
    <w:nsid w:val="16BA0B3C"/>
    <w:multiLevelType w:val="hybridMultilevel"/>
    <w:tmpl w:val="43AEC9D8"/>
    <w:lvl w:ilvl="0" w:tplc="69CE5A14">
      <w:start w:val="16"/>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9D27566"/>
    <w:multiLevelType w:val="multilevel"/>
    <w:tmpl w:val="49D26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E52937"/>
    <w:multiLevelType w:val="hybridMultilevel"/>
    <w:tmpl w:val="3F12EF4A"/>
    <w:lvl w:ilvl="0" w:tplc="519AE67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92D77A3"/>
    <w:multiLevelType w:val="hybridMultilevel"/>
    <w:tmpl w:val="3C8E7F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96B60F5"/>
    <w:multiLevelType w:val="hybridMultilevel"/>
    <w:tmpl w:val="DFDA51B8"/>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447" w:hanging="360"/>
      </w:pPr>
      <w:rPr>
        <w:rFonts w:ascii="Courier New" w:hAnsi="Courier New" w:cs="Tahoma" w:hint="default"/>
      </w:rPr>
    </w:lvl>
    <w:lvl w:ilvl="2" w:tplc="04180005" w:tentative="1">
      <w:start w:val="1"/>
      <w:numFmt w:val="bullet"/>
      <w:lvlText w:val=""/>
      <w:lvlJc w:val="left"/>
      <w:pPr>
        <w:ind w:left="1167" w:hanging="360"/>
      </w:pPr>
      <w:rPr>
        <w:rFonts w:ascii="Wingdings" w:hAnsi="Wingdings" w:hint="default"/>
      </w:rPr>
    </w:lvl>
    <w:lvl w:ilvl="3" w:tplc="04180001" w:tentative="1">
      <w:start w:val="1"/>
      <w:numFmt w:val="bullet"/>
      <w:lvlText w:val=""/>
      <w:lvlJc w:val="left"/>
      <w:pPr>
        <w:ind w:left="1887" w:hanging="360"/>
      </w:pPr>
      <w:rPr>
        <w:rFonts w:ascii="Symbol" w:hAnsi="Symbol" w:hint="default"/>
      </w:rPr>
    </w:lvl>
    <w:lvl w:ilvl="4" w:tplc="04180003" w:tentative="1">
      <w:start w:val="1"/>
      <w:numFmt w:val="bullet"/>
      <w:lvlText w:val="o"/>
      <w:lvlJc w:val="left"/>
      <w:pPr>
        <w:ind w:left="2607" w:hanging="360"/>
      </w:pPr>
      <w:rPr>
        <w:rFonts w:ascii="Courier New" w:hAnsi="Courier New" w:cs="Tahoma" w:hint="default"/>
      </w:rPr>
    </w:lvl>
    <w:lvl w:ilvl="5" w:tplc="04180005" w:tentative="1">
      <w:start w:val="1"/>
      <w:numFmt w:val="bullet"/>
      <w:lvlText w:val=""/>
      <w:lvlJc w:val="left"/>
      <w:pPr>
        <w:ind w:left="3327" w:hanging="360"/>
      </w:pPr>
      <w:rPr>
        <w:rFonts w:ascii="Wingdings" w:hAnsi="Wingdings" w:hint="default"/>
      </w:rPr>
    </w:lvl>
    <w:lvl w:ilvl="6" w:tplc="04180001" w:tentative="1">
      <w:start w:val="1"/>
      <w:numFmt w:val="bullet"/>
      <w:lvlText w:val=""/>
      <w:lvlJc w:val="left"/>
      <w:pPr>
        <w:ind w:left="4047" w:hanging="360"/>
      </w:pPr>
      <w:rPr>
        <w:rFonts w:ascii="Symbol" w:hAnsi="Symbol" w:hint="default"/>
      </w:rPr>
    </w:lvl>
    <w:lvl w:ilvl="7" w:tplc="04180003" w:tentative="1">
      <w:start w:val="1"/>
      <w:numFmt w:val="bullet"/>
      <w:lvlText w:val="o"/>
      <w:lvlJc w:val="left"/>
      <w:pPr>
        <w:ind w:left="4767" w:hanging="360"/>
      </w:pPr>
      <w:rPr>
        <w:rFonts w:ascii="Courier New" w:hAnsi="Courier New" w:cs="Tahoma" w:hint="default"/>
      </w:rPr>
    </w:lvl>
    <w:lvl w:ilvl="8" w:tplc="04180005" w:tentative="1">
      <w:start w:val="1"/>
      <w:numFmt w:val="bullet"/>
      <w:lvlText w:val=""/>
      <w:lvlJc w:val="left"/>
      <w:pPr>
        <w:ind w:left="5487" w:hanging="360"/>
      </w:pPr>
      <w:rPr>
        <w:rFonts w:ascii="Wingdings" w:hAnsi="Wingdings" w:hint="default"/>
      </w:rPr>
    </w:lvl>
  </w:abstractNum>
  <w:abstractNum w:abstractNumId="8" w15:restartNumberingAfterBreak="0">
    <w:nsid w:val="5676476E"/>
    <w:multiLevelType w:val="hybridMultilevel"/>
    <w:tmpl w:val="A78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C6F0F"/>
    <w:multiLevelType w:val="hybridMultilevel"/>
    <w:tmpl w:val="C98ED198"/>
    <w:lvl w:ilvl="0" w:tplc="BE7C1D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num>
  <w:num w:numId="6">
    <w:abstractNumId w:val="0"/>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D7"/>
    <w:rsid w:val="00002873"/>
    <w:rsid w:val="00002F21"/>
    <w:rsid w:val="00022D83"/>
    <w:rsid w:val="000323E6"/>
    <w:rsid w:val="00041AC6"/>
    <w:rsid w:val="00043B7E"/>
    <w:rsid w:val="00052986"/>
    <w:rsid w:val="00065BF7"/>
    <w:rsid w:val="0007340A"/>
    <w:rsid w:val="000755A0"/>
    <w:rsid w:val="000A59F7"/>
    <w:rsid w:val="000A5EAE"/>
    <w:rsid w:val="000B04EC"/>
    <w:rsid w:val="000C0376"/>
    <w:rsid w:val="000E4B78"/>
    <w:rsid w:val="00110FB2"/>
    <w:rsid w:val="00114365"/>
    <w:rsid w:val="00116596"/>
    <w:rsid w:val="00135D8B"/>
    <w:rsid w:val="00147B95"/>
    <w:rsid w:val="00161481"/>
    <w:rsid w:val="00164392"/>
    <w:rsid w:val="00175587"/>
    <w:rsid w:val="001836E4"/>
    <w:rsid w:val="00187C2A"/>
    <w:rsid w:val="00193859"/>
    <w:rsid w:val="0019791F"/>
    <w:rsid w:val="001D0E3A"/>
    <w:rsid w:val="001D318F"/>
    <w:rsid w:val="001E0363"/>
    <w:rsid w:val="00203214"/>
    <w:rsid w:val="0021313E"/>
    <w:rsid w:val="002200D0"/>
    <w:rsid w:val="00237054"/>
    <w:rsid w:val="002439CE"/>
    <w:rsid w:val="002744A0"/>
    <w:rsid w:val="00274C42"/>
    <w:rsid w:val="00277DBE"/>
    <w:rsid w:val="002831CE"/>
    <w:rsid w:val="00286922"/>
    <w:rsid w:val="00291267"/>
    <w:rsid w:val="0029751D"/>
    <w:rsid w:val="002A2E19"/>
    <w:rsid w:val="002B1956"/>
    <w:rsid w:val="002B1E6A"/>
    <w:rsid w:val="002B4398"/>
    <w:rsid w:val="002F352E"/>
    <w:rsid w:val="002F3773"/>
    <w:rsid w:val="002F423D"/>
    <w:rsid w:val="00300F2F"/>
    <w:rsid w:val="00316C77"/>
    <w:rsid w:val="0032523F"/>
    <w:rsid w:val="00337289"/>
    <w:rsid w:val="00354A0F"/>
    <w:rsid w:val="0036133E"/>
    <w:rsid w:val="00366F3F"/>
    <w:rsid w:val="0037261A"/>
    <w:rsid w:val="00382FE3"/>
    <w:rsid w:val="003B1468"/>
    <w:rsid w:val="003C50A4"/>
    <w:rsid w:val="003E2842"/>
    <w:rsid w:val="003F79CC"/>
    <w:rsid w:val="00406D49"/>
    <w:rsid w:val="00411A31"/>
    <w:rsid w:val="00416A8E"/>
    <w:rsid w:val="00417CF0"/>
    <w:rsid w:val="00417EA1"/>
    <w:rsid w:val="00427A1D"/>
    <w:rsid w:val="00436E2B"/>
    <w:rsid w:val="004447EA"/>
    <w:rsid w:val="004471AB"/>
    <w:rsid w:val="00455C47"/>
    <w:rsid w:val="004700BF"/>
    <w:rsid w:val="004811B1"/>
    <w:rsid w:val="00486FA9"/>
    <w:rsid w:val="004A08C9"/>
    <w:rsid w:val="004C2492"/>
    <w:rsid w:val="004E1BB1"/>
    <w:rsid w:val="004F1FF5"/>
    <w:rsid w:val="004F420B"/>
    <w:rsid w:val="00511054"/>
    <w:rsid w:val="0051524D"/>
    <w:rsid w:val="00515E68"/>
    <w:rsid w:val="00522A40"/>
    <w:rsid w:val="00537EE7"/>
    <w:rsid w:val="00560FE5"/>
    <w:rsid w:val="00567224"/>
    <w:rsid w:val="00583FCD"/>
    <w:rsid w:val="00584D35"/>
    <w:rsid w:val="005863BD"/>
    <w:rsid w:val="00590DAF"/>
    <w:rsid w:val="00594AD2"/>
    <w:rsid w:val="0059680F"/>
    <w:rsid w:val="005A12A9"/>
    <w:rsid w:val="005B140D"/>
    <w:rsid w:val="005D6FC4"/>
    <w:rsid w:val="005E64C6"/>
    <w:rsid w:val="005E6611"/>
    <w:rsid w:val="00645D4A"/>
    <w:rsid w:val="0065320D"/>
    <w:rsid w:val="00654F39"/>
    <w:rsid w:val="00671ED8"/>
    <w:rsid w:val="00692B28"/>
    <w:rsid w:val="006A00CF"/>
    <w:rsid w:val="006D332E"/>
    <w:rsid w:val="006D39A6"/>
    <w:rsid w:val="006D5756"/>
    <w:rsid w:val="006D7923"/>
    <w:rsid w:val="006E46EA"/>
    <w:rsid w:val="006F4D9D"/>
    <w:rsid w:val="006F66DC"/>
    <w:rsid w:val="006F6AEB"/>
    <w:rsid w:val="00727C0E"/>
    <w:rsid w:val="00743997"/>
    <w:rsid w:val="0074445C"/>
    <w:rsid w:val="007444CC"/>
    <w:rsid w:val="0074620F"/>
    <w:rsid w:val="0075131C"/>
    <w:rsid w:val="007563EB"/>
    <w:rsid w:val="00766184"/>
    <w:rsid w:val="0076745D"/>
    <w:rsid w:val="00781885"/>
    <w:rsid w:val="00783FB9"/>
    <w:rsid w:val="007874BE"/>
    <w:rsid w:val="00791BD0"/>
    <w:rsid w:val="007B4FD3"/>
    <w:rsid w:val="007C3E43"/>
    <w:rsid w:val="007E1A06"/>
    <w:rsid w:val="007F30BA"/>
    <w:rsid w:val="00801B58"/>
    <w:rsid w:val="0080726E"/>
    <w:rsid w:val="008103C5"/>
    <w:rsid w:val="00816E38"/>
    <w:rsid w:val="0082595D"/>
    <w:rsid w:val="00832A7C"/>
    <w:rsid w:val="00841226"/>
    <w:rsid w:val="008640B9"/>
    <w:rsid w:val="008C120E"/>
    <w:rsid w:val="008E2788"/>
    <w:rsid w:val="008F1A8E"/>
    <w:rsid w:val="00902FE9"/>
    <w:rsid w:val="00907794"/>
    <w:rsid w:val="00907977"/>
    <w:rsid w:val="00916139"/>
    <w:rsid w:val="009163EB"/>
    <w:rsid w:val="0099527A"/>
    <w:rsid w:val="009A21DC"/>
    <w:rsid w:val="009C0F4D"/>
    <w:rsid w:val="009D7AB7"/>
    <w:rsid w:val="00A130F4"/>
    <w:rsid w:val="00A16F34"/>
    <w:rsid w:val="00A25D02"/>
    <w:rsid w:val="00A26E8F"/>
    <w:rsid w:val="00A32969"/>
    <w:rsid w:val="00A52F3A"/>
    <w:rsid w:val="00A70CBD"/>
    <w:rsid w:val="00A807E7"/>
    <w:rsid w:val="00AA20C1"/>
    <w:rsid w:val="00AB089B"/>
    <w:rsid w:val="00AB2DA8"/>
    <w:rsid w:val="00AB3655"/>
    <w:rsid w:val="00AB7A7E"/>
    <w:rsid w:val="00AC02E1"/>
    <w:rsid w:val="00AC382B"/>
    <w:rsid w:val="00AD3F52"/>
    <w:rsid w:val="00AE3F1A"/>
    <w:rsid w:val="00B22531"/>
    <w:rsid w:val="00B23100"/>
    <w:rsid w:val="00B23CAF"/>
    <w:rsid w:val="00B23CE2"/>
    <w:rsid w:val="00B40045"/>
    <w:rsid w:val="00B43413"/>
    <w:rsid w:val="00B558C2"/>
    <w:rsid w:val="00B63C19"/>
    <w:rsid w:val="00B71131"/>
    <w:rsid w:val="00B847A5"/>
    <w:rsid w:val="00BA56D3"/>
    <w:rsid w:val="00BB36C6"/>
    <w:rsid w:val="00BB4394"/>
    <w:rsid w:val="00BB537B"/>
    <w:rsid w:val="00BC62CB"/>
    <w:rsid w:val="00BD25E6"/>
    <w:rsid w:val="00BD3592"/>
    <w:rsid w:val="00BD72ED"/>
    <w:rsid w:val="00BF1F61"/>
    <w:rsid w:val="00BF69AC"/>
    <w:rsid w:val="00C12BC4"/>
    <w:rsid w:val="00C2312E"/>
    <w:rsid w:val="00C468F5"/>
    <w:rsid w:val="00C475A2"/>
    <w:rsid w:val="00C512C6"/>
    <w:rsid w:val="00C5699A"/>
    <w:rsid w:val="00C6726F"/>
    <w:rsid w:val="00C940B4"/>
    <w:rsid w:val="00CB16BA"/>
    <w:rsid w:val="00CB4622"/>
    <w:rsid w:val="00CD0866"/>
    <w:rsid w:val="00CF04A0"/>
    <w:rsid w:val="00D063F5"/>
    <w:rsid w:val="00D12115"/>
    <w:rsid w:val="00D14A18"/>
    <w:rsid w:val="00D55400"/>
    <w:rsid w:val="00D7639E"/>
    <w:rsid w:val="00D84F63"/>
    <w:rsid w:val="00D85D1C"/>
    <w:rsid w:val="00D923D2"/>
    <w:rsid w:val="00D93D18"/>
    <w:rsid w:val="00D9652C"/>
    <w:rsid w:val="00DA16B2"/>
    <w:rsid w:val="00DA4D1F"/>
    <w:rsid w:val="00DB5A50"/>
    <w:rsid w:val="00DC0CED"/>
    <w:rsid w:val="00DF7704"/>
    <w:rsid w:val="00E03CA6"/>
    <w:rsid w:val="00E11B64"/>
    <w:rsid w:val="00E1402E"/>
    <w:rsid w:val="00E4611B"/>
    <w:rsid w:val="00E530A1"/>
    <w:rsid w:val="00E710E2"/>
    <w:rsid w:val="00E726BF"/>
    <w:rsid w:val="00E9155B"/>
    <w:rsid w:val="00E91BF4"/>
    <w:rsid w:val="00E966B8"/>
    <w:rsid w:val="00E97880"/>
    <w:rsid w:val="00EE7335"/>
    <w:rsid w:val="00EF192B"/>
    <w:rsid w:val="00EF6BB0"/>
    <w:rsid w:val="00F0215C"/>
    <w:rsid w:val="00F10DEF"/>
    <w:rsid w:val="00F47D18"/>
    <w:rsid w:val="00F513A0"/>
    <w:rsid w:val="00F70C5F"/>
    <w:rsid w:val="00F728BF"/>
    <w:rsid w:val="00F76A83"/>
    <w:rsid w:val="00FA4664"/>
    <w:rsid w:val="00FB4BB3"/>
    <w:rsid w:val="00FB5DA4"/>
    <w:rsid w:val="00FB72F9"/>
    <w:rsid w:val="00FB7B4B"/>
    <w:rsid w:val="00FC15A9"/>
    <w:rsid w:val="00FC332E"/>
    <w:rsid w:val="00FC4261"/>
    <w:rsid w:val="00FC65F9"/>
    <w:rsid w:val="00FC6820"/>
    <w:rsid w:val="00FF51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E77CF"/>
  <w15:docId w15:val="{C631C0F3-72FF-49CF-9DD6-4F3C4782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92B"/>
    <w:pPr>
      <w:spacing w:after="200" w:line="276" w:lineRule="auto"/>
    </w:pPr>
    <w:rPr>
      <w:sz w:val="22"/>
      <w:szCs w:val="22"/>
      <w:lang w:eastAsia="en-US"/>
    </w:rPr>
  </w:style>
  <w:style w:type="paragraph" w:styleId="Heading1">
    <w:name w:val="heading 1"/>
    <w:basedOn w:val="Normal"/>
    <w:next w:val="Normal"/>
    <w:link w:val="Heading1Char"/>
    <w:uiPriority w:val="9"/>
    <w:qFormat/>
    <w:rsid w:val="00E4611B"/>
    <w:pPr>
      <w:keepNext/>
      <w:spacing w:after="0" w:line="240" w:lineRule="auto"/>
      <w:outlineLvl w:val="0"/>
    </w:pPr>
    <w:rPr>
      <w:b/>
      <w:bCs/>
      <w:lang w:val="en-US"/>
    </w:rPr>
  </w:style>
  <w:style w:type="paragraph" w:styleId="Heading2">
    <w:name w:val="heading 2"/>
    <w:basedOn w:val="Normal"/>
    <w:next w:val="Normal"/>
    <w:link w:val="Heading2Char"/>
    <w:uiPriority w:val="9"/>
    <w:unhideWhenUsed/>
    <w:qFormat/>
    <w:rsid w:val="00022D83"/>
    <w:pPr>
      <w:keepNext/>
      <w:shd w:val="clear" w:color="auto" w:fill="FFFFFF"/>
      <w:spacing w:after="0" w:line="240" w:lineRule="auto"/>
      <w:ind w:right="-257" w:firstLine="426"/>
      <w:jc w:val="both"/>
      <w:outlineLvl w:val="1"/>
    </w:pPr>
    <w:rPr>
      <w:rFonts w:cs="Calibri"/>
      <w:b/>
      <w:bCs/>
      <w:color w:val="000000"/>
      <w:lang w:val="en-US"/>
    </w:rPr>
  </w:style>
  <w:style w:type="paragraph" w:styleId="Heading3">
    <w:name w:val="heading 3"/>
    <w:basedOn w:val="Normal"/>
    <w:next w:val="Normal"/>
    <w:link w:val="Heading3Char"/>
    <w:uiPriority w:val="9"/>
    <w:semiHidden/>
    <w:unhideWhenUsed/>
    <w:qFormat/>
    <w:rsid w:val="003372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22D83"/>
    <w:pPr>
      <w:keepNext/>
      <w:shd w:val="clear" w:color="auto" w:fill="FFFFFF"/>
      <w:spacing w:after="0" w:line="240" w:lineRule="auto"/>
      <w:ind w:left="426" w:right="-257"/>
      <w:jc w:val="both"/>
      <w:outlineLvl w:val="3"/>
    </w:pPr>
    <w:rPr>
      <w:rFonts w:cs="Calibri"/>
      <w:b/>
      <w:bCs/>
      <w:color w:val="FF0000"/>
      <w:lang w:val="en-US"/>
    </w:rPr>
  </w:style>
  <w:style w:type="paragraph" w:styleId="Heading5">
    <w:name w:val="heading 5"/>
    <w:basedOn w:val="Normal"/>
    <w:next w:val="Normal"/>
    <w:link w:val="Heading5Char"/>
    <w:uiPriority w:val="9"/>
    <w:unhideWhenUsed/>
    <w:qFormat/>
    <w:rsid w:val="009A21DC"/>
    <w:pPr>
      <w:keepNext/>
      <w:shd w:val="clear" w:color="auto" w:fill="FFFFFF"/>
      <w:spacing w:after="0" w:line="240" w:lineRule="auto"/>
      <w:ind w:left="426" w:right="-257"/>
      <w:jc w:val="both"/>
      <w:outlineLvl w:val="4"/>
    </w:pPr>
    <w:rPr>
      <w:rFonts w:cs="Calibri"/>
      <w:b/>
      <w:bCs/>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04EC"/>
    <w:pPr>
      <w:spacing w:after="0" w:line="240" w:lineRule="auto"/>
      <w:jc w:val="both"/>
    </w:pPr>
    <w:rPr>
      <w:rFonts w:ascii="Times New Roman" w:eastAsia="Times New Roman" w:hAnsi="Times New Roman"/>
      <w:sz w:val="20"/>
      <w:szCs w:val="20"/>
      <w:lang w:val="de-DE" w:eastAsia="ja-JP"/>
    </w:rPr>
  </w:style>
  <w:style w:type="character" w:customStyle="1" w:styleId="FootnoteTextChar">
    <w:name w:val="Footnote Text Char"/>
    <w:link w:val="FootnoteText"/>
    <w:uiPriority w:val="99"/>
    <w:rsid w:val="000B04EC"/>
    <w:rPr>
      <w:rFonts w:ascii="Times New Roman" w:eastAsia="Times New Roman" w:hAnsi="Times New Roman" w:cs="Times New Roman"/>
      <w:sz w:val="20"/>
      <w:szCs w:val="20"/>
      <w:lang w:val="de-DE" w:eastAsia="ja-JP"/>
    </w:rPr>
  </w:style>
  <w:style w:type="character" w:styleId="FootnoteReference">
    <w:name w:val="footnote reference"/>
    <w:uiPriority w:val="99"/>
    <w:semiHidden/>
    <w:unhideWhenUsed/>
    <w:rsid w:val="000B04EC"/>
    <w:rPr>
      <w:vertAlign w:val="superscript"/>
    </w:rPr>
  </w:style>
  <w:style w:type="character" w:customStyle="1" w:styleId="apple-style-span">
    <w:name w:val="apple-style-span"/>
    <w:basedOn w:val="DefaultParagraphFont"/>
    <w:rsid w:val="0074620F"/>
  </w:style>
  <w:style w:type="character" w:styleId="CommentReference">
    <w:name w:val="annotation reference"/>
    <w:uiPriority w:val="99"/>
    <w:semiHidden/>
    <w:unhideWhenUsed/>
    <w:rsid w:val="0074620F"/>
    <w:rPr>
      <w:sz w:val="16"/>
      <w:szCs w:val="16"/>
    </w:rPr>
  </w:style>
  <w:style w:type="character" w:styleId="Hyperlink">
    <w:name w:val="Hyperlink"/>
    <w:uiPriority w:val="99"/>
    <w:unhideWhenUsed/>
    <w:rsid w:val="0074620F"/>
    <w:rPr>
      <w:color w:val="0000FF"/>
      <w:u w:val="single"/>
    </w:rPr>
  </w:style>
  <w:style w:type="paragraph" w:customStyle="1" w:styleId="ColorfulList-Accent11">
    <w:name w:val="Colorful List - Accent 11"/>
    <w:basedOn w:val="Normal"/>
    <w:uiPriority w:val="34"/>
    <w:qFormat/>
    <w:rsid w:val="002200D0"/>
    <w:pPr>
      <w:ind w:left="720"/>
    </w:pPr>
    <w:rPr>
      <w:lang w:val="fr-BE" w:eastAsia="fr-BE"/>
    </w:rPr>
  </w:style>
  <w:style w:type="paragraph" w:styleId="Header">
    <w:name w:val="header"/>
    <w:basedOn w:val="Normal"/>
    <w:link w:val="HeaderChar"/>
    <w:uiPriority w:val="99"/>
    <w:unhideWhenUsed/>
    <w:rsid w:val="00A26E8F"/>
    <w:pPr>
      <w:tabs>
        <w:tab w:val="center" w:pos="4536"/>
        <w:tab w:val="right" w:pos="9072"/>
      </w:tabs>
      <w:spacing w:after="0" w:line="240" w:lineRule="auto"/>
    </w:pPr>
  </w:style>
  <w:style w:type="character" w:customStyle="1" w:styleId="HeaderChar">
    <w:name w:val="Header Char"/>
    <w:link w:val="Header"/>
    <w:uiPriority w:val="99"/>
    <w:rsid w:val="00A26E8F"/>
    <w:rPr>
      <w:rFonts w:ascii="Calibri" w:eastAsia="Calibri" w:hAnsi="Calibri" w:cs="Times New Roman"/>
      <w:lang w:val="ro-RO"/>
    </w:rPr>
  </w:style>
  <w:style w:type="paragraph" w:styleId="Footer">
    <w:name w:val="footer"/>
    <w:basedOn w:val="Normal"/>
    <w:link w:val="FooterChar"/>
    <w:uiPriority w:val="99"/>
    <w:unhideWhenUsed/>
    <w:rsid w:val="00A26E8F"/>
    <w:pPr>
      <w:tabs>
        <w:tab w:val="center" w:pos="4536"/>
        <w:tab w:val="right" w:pos="9072"/>
      </w:tabs>
      <w:spacing w:after="0" w:line="240" w:lineRule="auto"/>
    </w:pPr>
  </w:style>
  <w:style w:type="character" w:customStyle="1" w:styleId="FooterChar">
    <w:name w:val="Footer Char"/>
    <w:link w:val="Footer"/>
    <w:uiPriority w:val="99"/>
    <w:rsid w:val="00A26E8F"/>
    <w:rPr>
      <w:rFonts w:ascii="Calibri" w:eastAsia="Calibri" w:hAnsi="Calibri" w:cs="Times New Roman"/>
      <w:lang w:val="ro-RO"/>
    </w:rPr>
  </w:style>
  <w:style w:type="paragraph" w:styleId="BalloonText">
    <w:name w:val="Balloon Text"/>
    <w:basedOn w:val="Normal"/>
    <w:link w:val="BalloonTextChar"/>
    <w:uiPriority w:val="99"/>
    <w:semiHidden/>
    <w:unhideWhenUsed/>
    <w:rsid w:val="00AE3F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F1A"/>
    <w:rPr>
      <w:rFonts w:ascii="Tahoma" w:eastAsia="Calibri" w:hAnsi="Tahoma" w:cs="Tahoma"/>
      <w:sz w:val="16"/>
      <w:szCs w:val="16"/>
      <w:lang w:val="ro-RO"/>
    </w:rPr>
  </w:style>
  <w:style w:type="paragraph" w:styleId="CommentText">
    <w:name w:val="annotation text"/>
    <w:basedOn w:val="Normal"/>
    <w:link w:val="CommentTextChar"/>
    <w:uiPriority w:val="99"/>
    <w:semiHidden/>
    <w:unhideWhenUsed/>
    <w:rsid w:val="00AE3F1A"/>
    <w:pPr>
      <w:spacing w:after="0" w:line="240" w:lineRule="auto"/>
      <w:jc w:val="both"/>
    </w:pPr>
    <w:rPr>
      <w:rFonts w:ascii="Times New Roman" w:eastAsia="Times New Roman" w:hAnsi="Times New Roman"/>
      <w:sz w:val="20"/>
      <w:szCs w:val="20"/>
      <w:lang w:val="de-DE" w:eastAsia="ja-JP"/>
    </w:rPr>
  </w:style>
  <w:style w:type="character" w:customStyle="1" w:styleId="CommentTextChar">
    <w:name w:val="Comment Text Char"/>
    <w:link w:val="CommentText"/>
    <w:uiPriority w:val="99"/>
    <w:semiHidden/>
    <w:rsid w:val="00AE3F1A"/>
    <w:rPr>
      <w:rFonts w:ascii="Times New Roman" w:eastAsia="Times New Roman" w:hAnsi="Times New Roman" w:cs="Times New Roman"/>
      <w:sz w:val="20"/>
      <w:szCs w:val="20"/>
      <w:lang w:val="de-DE" w:eastAsia="ja-JP"/>
    </w:rPr>
  </w:style>
  <w:style w:type="paragraph" w:styleId="CommentSubject">
    <w:name w:val="annotation subject"/>
    <w:basedOn w:val="CommentText"/>
    <w:next w:val="CommentText"/>
    <w:link w:val="CommentSubjectChar"/>
    <w:uiPriority w:val="99"/>
    <w:semiHidden/>
    <w:unhideWhenUsed/>
    <w:rsid w:val="0007340A"/>
    <w:pPr>
      <w:spacing w:after="200" w:line="276" w:lineRule="auto"/>
      <w:jc w:val="left"/>
    </w:pPr>
    <w:rPr>
      <w:rFonts w:ascii="Calibri" w:eastAsia="Calibri" w:hAnsi="Calibri"/>
      <w:b/>
      <w:bCs/>
      <w:lang w:val="ro-RO" w:eastAsia="en-US"/>
    </w:rPr>
  </w:style>
  <w:style w:type="character" w:customStyle="1" w:styleId="CommentSubjectChar">
    <w:name w:val="Comment Subject Char"/>
    <w:link w:val="CommentSubject"/>
    <w:uiPriority w:val="99"/>
    <w:semiHidden/>
    <w:rsid w:val="0007340A"/>
    <w:rPr>
      <w:rFonts w:ascii="Times New Roman" w:eastAsia="Times New Roman" w:hAnsi="Times New Roman" w:cs="Times New Roman"/>
      <w:b/>
      <w:bCs/>
      <w:sz w:val="20"/>
      <w:szCs w:val="20"/>
      <w:lang w:val="ro-RO" w:eastAsia="ja-JP"/>
    </w:rPr>
  </w:style>
  <w:style w:type="character" w:styleId="Strong">
    <w:name w:val="Strong"/>
    <w:uiPriority w:val="22"/>
    <w:qFormat/>
    <w:rsid w:val="00E03CA6"/>
    <w:rPr>
      <w:b/>
      <w:bCs/>
    </w:rPr>
  </w:style>
  <w:style w:type="paragraph" w:customStyle="1" w:styleId="MediumGrid1-Accent21">
    <w:name w:val="Medium Grid 1 - Accent 21"/>
    <w:basedOn w:val="Normal"/>
    <w:uiPriority w:val="34"/>
    <w:rsid w:val="00D93D18"/>
    <w:pPr>
      <w:spacing w:after="0" w:line="240" w:lineRule="auto"/>
      <w:ind w:left="720"/>
      <w:contextualSpacing/>
    </w:pPr>
    <w:rPr>
      <w:rFonts w:ascii="Times New Roman" w:hAnsi="Times New Roman"/>
      <w:sz w:val="24"/>
      <w:szCs w:val="24"/>
      <w:lang w:eastAsia="es-ES"/>
    </w:rPr>
  </w:style>
  <w:style w:type="paragraph" w:styleId="ListParagraph">
    <w:name w:val="List Paragraph"/>
    <w:basedOn w:val="Normal"/>
    <w:uiPriority w:val="34"/>
    <w:qFormat/>
    <w:rsid w:val="002B1E6A"/>
    <w:pPr>
      <w:spacing w:after="0" w:line="240" w:lineRule="auto"/>
      <w:ind w:left="720"/>
    </w:pPr>
    <w:rPr>
      <w:lang w:eastAsia="ro-RO"/>
    </w:rPr>
  </w:style>
  <w:style w:type="character" w:customStyle="1" w:styleId="apple-converted-space">
    <w:name w:val="apple-converted-space"/>
    <w:basedOn w:val="DefaultParagraphFont"/>
    <w:rsid w:val="000755A0"/>
  </w:style>
  <w:style w:type="character" w:styleId="FollowedHyperlink">
    <w:name w:val="FollowedHyperlink"/>
    <w:basedOn w:val="DefaultParagraphFont"/>
    <w:uiPriority w:val="99"/>
    <w:semiHidden/>
    <w:unhideWhenUsed/>
    <w:rsid w:val="0037261A"/>
    <w:rPr>
      <w:color w:val="800080" w:themeColor="followedHyperlink"/>
      <w:u w:val="single"/>
    </w:rPr>
  </w:style>
  <w:style w:type="character" w:customStyle="1" w:styleId="Heading1Char">
    <w:name w:val="Heading 1 Char"/>
    <w:basedOn w:val="DefaultParagraphFont"/>
    <w:link w:val="Heading1"/>
    <w:uiPriority w:val="9"/>
    <w:rsid w:val="00E4611B"/>
    <w:rPr>
      <w:b/>
      <w:bCs/>
      <w:sz w:val="22"/>
      <w:szCs w:val="22"/>
      <w:lang w:val="en-US" w:eastAsia="en-US"/>
    </w:rPr>
  </w:style>
  <w:style w:type="character" w:customStyle="1" w:styleId="Heading3Char">
    <w:name w:val="Heading 3 Char"/>
    <w:basedOn w:val="DefaultParagraphFont"/>
    <w:link w:val="Heading3"/>
    <w:uiPriority w:val="9"/>
    <w:semiHidden/>
    <w:rsid w:val="00337289"/>
    <w:rPr>
      <w:rFonts w:asciiTheme="majorHAnsi" w:eastAsiaTheme="majorEastAsia" w:hAnsiTheme="majorHAnsi" w:cstheme="majorBidi"/>
      <w:color w:val="243F60" w:themeColor="accent1" w:themeShade="7F"/>
      <w:sz w:val="24"/>
      <w:szCs w:val="24"/>
      <w:lang w:eastAsia="en-US"/>
    </w:rPr>
  </w:style>
  <w:style w:type="character" w:customStyle="1" w:styleId="Heading2Char">
    <w:name w:val="Heading 2 Char"/>
    <w:basedOn w:val="DefaultParagraphFont"/>
    <w:link w:val="Heading2"/>
    <w:uiPriority w:val="9"/>
    <w:rsid w:val="00022D83"/>
    <w:rPr>
      <w:rFonts w:cs="Calibri"/>
      <w:b/>
      <w:bCs/>
      <w:color w:val="000000"/>
      <w:sz w:val="22"/>
      <w:szCs w:val="22"/>
      <w:shd w:val="clear" w:color="auto" w:fill="FFFFFF"/>
      <w:lang w:val="en-US" w:eastAsia="en-US"/>
    </w:rPr>
  </w:style>
  <w:style w:type="character" w:customStyle="1" w:styleId="Heading4Char">
    <w:name w:val="Heading 4 Char"/>
    <w:basedOn w:val="DefaultParagraphFont"/>
    <w:link w:val="Heading4"/>
    <w:uiPriority w:val="9"/>
    <w:rsid w:val="00022D83"/>
    <w:rPr>
      <w:rFonts w:cs="Calibri"/>
      <w:b/>
      <w:bCs/>
      <w:color w:val="FF0000"/>
      <w:sz w:val="22"/>
      <w:szCs w:val="22"/>
      <w:shd w:val="clear" w:color="auto" w:fill="FFFFFF"/>
      <w:lang w:val="en-US" w:eastAsia="en-US"/>
    </w:rPr>
  </w:style>
  <w:style w:type="character" w:customStyle="1" w:styleId="Heading5Char">
    <w:name w:val="Heading 5 Char"/>
    <w:basedOn w:val="DefaultParagraphFont"/>
    <w:link w:val="Heading5"/>
    <w:uiPriority w:val="9"/>
    <w:rsid w:val="009A21DC"/>
    <w:rPr>
      <w:rFonts w:cs="Calibri"/>
      <w:b/>
      <w:bCs/>
      <w:color w:val="000000" w:themeColor="text1"/>
      <w:sz w:val="22"/>
      <w:szCs w:val="22"/>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40576">
      <w:bodyDiv w:val="1"/>
      <w:marLeft w:val="0"/>
      <w:marRight w:val="0"/>
      <w:marTop w:val="0"/>
      <w:marBottom w:val="0"/>
      <w:divBdr>
        <w:top w:val="none" w:sz="0" w:space="0" w:color="auto"/>
        <w:left w:val="none" w:sz="0" w:space="0" w:color="auto"/>
        <w:bottom w:val="none" w:sz="0" w:space="0" w:color="auto"/>
        <w:right w:val="none" w:sz="0" w:space="0" w:color="auto"/>
      </w:divBdr>
    </w:div>
    <w:div w:id="582490055">
      <w:bodyDiv w:val="1"/>
      <w:marLeft w:val="0"/>
      <w:marRight w:val="0"/>
      <w:marTop w:val="0"/>
      <w:marBottom w:val="0"/>
      <w:divBdr>
        <w:top w:val="none" w:sz="0" w:space="0" w:color="auto"/>
        <w:left w:val="none" w:sz="0" w:space="0" w:color="auto"/>
        <w:bottom w:val="none" w:sz="0" w:space="0" w:color="auto"/>
        <w:right w:val="none" w:sz="0" w:space="0" w:color="auto"/>
      </w:divBdr>
    </w:div>
    <w:div w:id="1224179060">
      <w:bodyDiv w:val="1"/>
      <w:marLeft w:val="0"/>
      <w:marRight w:val="0"/>
      <w:marTop w:val="0"/>
      <w:marBottom w:val="0"/>
      <w:divBdr>
        <w:top w:val="none" w:sz="0" w:space="0" w:color="auto"/>
        <w:left w:val="none" w:sz="0" w:space="0" w:color="auto"/>
        <w:bottom w:val="none" w:sz="0" w:space="0" w:color="auto"/>
        <w:right w:val="none" w:sz="0" w:space="0" w:color="auto"/>
      </w:divBdr>
    </w:div>
    <w:div w:id="1690596170">
      <w:bodyDiv w:val="1"/>
      <w:marLeft w:val="0"/>
      <w:marRight w:val="0"/>
      <w:marTop w:val="0"/>
      <w:marBottom w:val="0"/>
      <w:divBdr>
        <w:top w:val="none" w:sz="0" w:space="0" w:color="auto"/>
        <w:left w:val="none" w:sz="0" w:space="0" w:color="auto"/>
        <w:bottom w:val="none" w:sz="0" w:space="0" w:color="auto"/>
        <w:right w:val="none" w:sz="0" w:space="0" w:color="auto"/>
      </w:divBdr>
    </w:div>
    <w:div w:id="1725981884">
      <w:bodyDiv w:val="1"/>
      <w:marLeft w:val="0"/>
      <w:marRight w:val="0"/>
      <w:marTop w:val="0"/>
      <w:marBottom w:val="0"/>
      <w:divBdr>
        <w:top w:val="none" w:sz="0" w:space="0" w:color="auto"/>
        <w:left w:val="none" w:sz="0" w:space="0" w:color="auto"/>
        <w:bottom w:val="none" w:sz="0" w:space="0" w:color="auto"/>
        <w:right w:val="none" w:sz="0" w:space="0" w:color="auto"/>
      </w:divBdr>
    </w:div>
    <w:div w:id="1860506227">
      <w:bodyDiv w:val="1"/>
      <w:marLeft w:val="0"/>
      <w:marRight w:val="0"/>
      <w:marTop w:val="0"/>
      <w:marBottom w:val="0"/>
      <w:divBdr>
        <w:top w:val="none" w:sz="0" w:space="0" w:color="auto"/>
        <w:left w:val="none" w:sz="0" w:space="0" w:color="auto"/>
        <w:bottom w:val="none" w:sz="0" w:space="0" w:color="auto"/>
        <w:right w:val="none" w:sz="0" w:space="0" w:color="auto"/>
      </w:divBdr>
    </w:div>
    <w:div w:id="18890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gp/book/97833191876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ohe@uefiscdi.ro" TargetMode="External"/><Relationship Id="rId4" Type="http://schemas.openxmlformats.org/officeDocument/2006/relationships/settings" Target="settings.xml"/><Relationship Id="rId9" Type="http://schemas.openxmlformats.org/officeDocument/2006/relationships/hyperlink" Target="http://fohe-bprc.forhe.r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edia.ehea.info/file/2015_Yerevan/70/7/YerevanCommuniqueFinal_613707.pdf" TargetMode="External"/><Relationship Id="rId2" Type="http://schemas.openxmlformats.org/officeDocument/2006/relationships/hyperlink" Target="http://www.europarl.europa.eu/RegData/etudes/STUD/2015/540370/IPOL_STU(2015)540370_EN.pdf" TargetMode="External"/><Relationship Id="rId1" Type="http://schemas.openxmlformats.org/officeDocument/2006/relationships/hyperlink" Target="http://www.ehea.info/Uploads/%281%29/2012%20EHEA%20Mobility%20Strategy.pdf" TargetMode="External"/><Relationship Id="rId6" Type="http://schemas.openxmlformats.org/officeDocument/2006/relationships/hyperlink" Target="https://media.ehea.info/file/2015_Yerevan/72/7/European_Standards_and_Guidelines_for_Quality_Assurance_in_the_EHEA_2015_MC_613727.pdf" TargetMode="External"/><Relationship Id="rId5" Type="http://schemas.openxmlformats.org/officeDocument/2006/relationships/hyperlink" Target="http://www.ehea.info/cid105402/wg-new-goals-2015-2018.html" TargetMode="External"/><Relationship Id="rId4" Type="http://schemas.openxmlformats.org/officeDocument/2006/relationships/hyperlink" Target="https://media.ehea.info/file/2015_Yerevan/71/5/Widening_Participation_for_Equity_and_Growth_A_Strategy_for_the_Development_of_the_SD_and_LLL_in_the_EHEA_to_2020_6137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3500-2049-4D23-98AA-AB4B35FB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3159</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21443</CharactersWithSpaces>
  <SharedDoc>false</SharedDoc>
  <HLinks>
    <vt:vector size="6" baseType="variant">
      <vt:variant>
        <vt:i4>5767274</vt:i4>
      </vt:variant>
      <vt:variant>
        <vt:i4>0</vt:i4>
      </vt:variant>
      <vt:variant>
        <vt:i4>0</vt:i4>
      </vt:variant>
      <vt:variant>
        <vt:i4>5</vt:i4>
      </vt:variant>
      <vt:variant>
        <vt:lpwstr>mailto:fohe@uefiscdi.ro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Andrée Sursock</dc:creator>
  <cp:lastModifiedBy>Ligia Deca</cp:lastModifiedBy>
  <cp:revision>2</cp:revision>
  <dcterms:created xsi:type="dcterms:W3CDTF">2017-07-03T12:03:00Z</dcterms:created>
  <dcterms:modified xsi:type="dcterms:W3CDTF">2017-07-03T12:03:00Z</dcterms:modified>
</cp:coreProperties>
</file>