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67542" w:rsidRPr="004A1E67" w:rsidRDefault="001C12ED">
      <w:pPr>
        <w:pStyle w:val="Title"/>
        <w:rPr>
          <w:rFonts w:ascii="Times New Roman" w:eastAsia="Times New Roman" w:hAnsi="Times New Roman" w:cs="Times New Roman"/>
          <w:b/>
          <w:sz w:val="36"/>
          <w:szCs w:val="36"/>
          <w:lang w:val="en-GB"/>
        </w:rPr>
      </w:pPr>
      <w:bookmarkStart w:id="0" w:name="_heading=h.gjdgxs" w:colFirst="0" w:colLast="0"/>
      <w:bookmarkEnd w:id="0"/>
      <w:r w:rsidRPr="004A1E67">
        <w:rPr>
          <w:rFonts w:ascii="Times New Roman" w:eastAsia="Times New Roman" w:hAnsi="Times New Roman" w:cs="Times New Roman"/>
          <w:b/>
          <w:sz w:val="36"/>
          <w:szCs w:val="36"/>
          <w:lang w:val="en-GB"/>
        </w:rPr>
        <w:t xml:space="preserve">A Theory of Student Agency in Higher Education </w:t>
      </w:r>
    </w:p>
    <w:p w14:paraId="00000002" w14:textId="77777777" w:rsidR="00667542" w:rsidRPr="004A1E67" w:rsidRDefault="00667542">
      <w:pPr>
        <w:rPr>
          <w:rFonts w:ascii="Times New Roman" w:eastAsia="Times New Roman" w:hAnsi="Times New Roman" w:cs="Times New Roman"/>
          <w:b/>
          <w:sz w:val="24"/>
          <w:szCs w:val="24"/>
          <w:highlight w:val="white"/>
          <w:lang w:val="en-GB"/>
        </w:rPr>
      </w:pPr>
    </w:p>
    <w:p w14:paraId="00000003" w14:textId="77777777" w:rsidR="00667542" w:rsidRPr="004A1E67" w:rsidRDefault="001C12ED">
      <w:pPr>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highlight w:val="white"/>
          <w:lang w:val="en-GB"/>
        </w:rPr>
        <w:t xml:space="preserve">Manja </w:t>
      </w:r>
      <w:proofErr w:type="spellStart"/>
      <w:r w:rsidRPr="004A1E67">
        <w:rPr>
          <w:rFonts w:ascii="Times New Roman" w:eastAsia="Times New Roman" w:hAnsi="Times New Roman" w:cs="Times New Roman"/>
          <w:sz w:val="24"/>
          <w:szCs w:val="24"/>
          <w:highlight w:val="white"/>
          <w:lang w:val="en-GB"/>
        </w:rPr>
        <w:t>Klemenčič</w:t>
      </w:r>
      <w:proofErr w:type="spellEnd"/>
    </w:p>
    <w:p w14:paraId="0000000F" w14:textId="760108D2" w:rsidR="00667542" w:rsidRDefault="001C12ED">
      <w:pPr>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 </w:t>
      </w:r>
      <w:bookmarkStart w:id="1" w:name="_heading=h.30j0zll" w:colFirst="0" w:colLast="0"/>
      <w:bookmarkEnd w:id="1"/>
    </w:p>
    <w:p w14:paraId="6C224D39" w14:textId="77777777" w:rsidR="00493715" w:rsidRPr="00493715" w:rsidRDefault="00493715" w:rsidP="00493715">
      <w:pPr>
        <w:rPr>
          <w:rFonts w:ascii="Times New Roman" w:eastAsia="Times New Roman" w:hAnsi="Times New Roman" w:cs="Times New Roman"/>
          <w:b/>
          <w:sz w:val="24"/>
          <w:szCs w:val="24"/>
          <w:lang w:val="en-GB"/>
        </w:rPr>
      </w:pPr>
      <w:r w:rsidRPr="00493715">
        <w:rPr>
          <w:rFonts w:ascii="Times New Roman" w:eastAsia="Times New Roman" w:hAnsi="Times New Roman" w:cs="Times New Roman"/>
          <w:b/>
          <w:sz w:val="24"/>
          <w:szCs w:val="24"/>
          <w:lang w:val="en-GB"/>
        </w:rPr>
        <w:t xml:space="preserve">     Abstract</w:t>
      </w:r>
    </w:p>
    <w:p w14:paraId="7AF97692" w14:textId="77777777" w:rsidR="00493715" w:rsidRPr="00493715" w:rsidRDefault="00493715" w:rsidP="00493715">
      <w:pPr>
        <w:jc w:val="both"/>
        <w:rPr>
          <w:rFonts w:ascii="Times New Roman" w:eastAsia="Times New Roman" w:hAnsi="Times New Roman" w:cs="Times New Roman"/>
          <w:bCs/>
          <w:sz w:val="24"/>
          <w:szCs w:val="24"/>
          <w:lang w:val="en-GB"/>
        </w:rPr>
      </w:pPr>
      <w:r w:rsidRPr="00493715">
        <w:rPr>
          <w:rFonts w:ascii="Times New Roman" w:eastAsia="Times New Roman" w:hAnsi="Times New Roman" w:cs="Times New Roman"/>
          <w:bCs/>
          <w:sz w:val="24"/>
          <w:szCs w:val="24"/>
          <w:lang w:val="en-GB"/>
        </w:rPr>
        <w:t xml:space="preserve">This chapter proposes a theory of student agency in higher education as an overarching framework for structuring ideas about conditions of student experiences and student outcomes. Student agency is defined as students’ capabilities to navigate, influence, and take responsibility for their learning and education pathways and environments. The student agency model accounts for time, space, and place dynamics to explain the double “conversion”: the conversion of agentic orientations into a set of capabilities that comprise student agency, and conversion of student agency into student experiences and outcomes. The theory of student agency focuses on relationships between structures and students’ capabilities, such as intentionality, forethought and self-direction, self-regulation and reflexivity, self-awareness and self-authorship, self-efficacy and self-determination, and mental wellbeing. It addresses the questions: (1) What is student agency? (2) What are the student agency dynamics across, time, space, and place in higher education? (3) How does student agency affect student outcomes? </w:t>
      </w:r>
    </w:p>
    <w:p w14:paraId="4F46AA69" w14:textId="77777777" w:rsidR="00493715" w:rsidRPr="00493715" w:rsidRDefault="00493715" w:rsidP="00493715">
      <w:pPr>
        <w:rPr>
          <w:rFonts w:ascii="Times New Roman" w:eastAsia="Times New Roman" w:hAnsi="Times New Roman" w:cs="Times New Roman"/>
          <w:b/>
          <w:sz w:val="24"/>
          <w:szCs w:val="24"/>
          <w:lang w:val="en-GB"/>
        </w:rPr>
      </w:pPr>
    </w:p>
    <w:p w14:paraId="65046339" w14:textId="77777777" w:rsidR="00493715" w:rsidRPr="00493715" w:rsidRDefault="00493715" w:rsidP="00493715">
      <w:pPr>
        <w:rPr>
          <w:rFonts w:ascii="Times New Roman" w:eastAsia="Times New Roman" w:hAnsi="Times New Roman" w:cs="Times New Roman"/>
          <w:b/>
          <w:sz w:val="24"/>
          <w:szCs w:val="24"/>
          <w:lang w:val="en-GB"/>
        </w:rPr>
      </w:pPr>
    </w:p>
    <w:p w14:paraId="745F5CD1" w14:textId="77777777" w:rsidR="00493715" w:rsidRPr="00493715" w:rsidRDefault="00493715" w:rsidP="00493715">
      <w:pPr>
        <w:rPr>
          <w:rFonts w:ascii="Times New Roman" w:eastAsia="Times New Roman" w:hAnsi="Times New Roman" w:cs="Times New Roman"/>
          <w:b/>
          <w:sz w:val="24"/>
          <w:szCs w:val="24"/>
          <w:lang w:val="en-GB"/>
        </w:rPr>
      </w:pPr>
      <w:r w:rsidRPr="00493715">
        <w:rPr>
          <w:rFonts w:ascii="Times New Roman" w:eastAsia="Times New Roman" w:hAnsi="Times New Roman" w:cs="Times New Roman"/>
          <w:b/>
          <w:sz w:val="24"/>
          <w:szCs w:val="24"/>
          <w:lang w:val="en-GB"/>
        </w:rPr>
        <w:t xml:space="preserve">Keywords: </w:t>
      </w:r>
      <w:r w:rsidRPr="00493715">
        <w:rPr>
          <w:rFonts w:ascii="Times New Roman" w:eastAsia="Times New Roman" w:hAnsi="Times New Roman" w:cs="Times New Roman"/>
          <w:bCs/>
          <w:sz w:val="24"/>
          <w:szCs w:val="24"/>
          <w:lang w:val="en-GB"/>
        </w:rPr>
        <w:t>student agency, student capabilities, student experiences, student outcomes, higher education</w:t>
      </w:r>
    </w:p>
    <w:p w14:paraId="20BC516F" w14:textId="77777777" w:rsidR="00493715" w:rsidRPr="005B73ED" w:rsidRDefault="00493715">
      <w:pPr>
        <w:rPr>
          <w:rFonts w:ascii="Times New Roman" w:eastAsia="Times New Roman" w:hAnsi="Times New Roman" w:cs="Times New Roman"/>
          <w:b/>
          <w:sz w:val="24"/>
          <w:szCs w:val="24"/>
          <w:highlight w:val="white"/>
          <w:lang w:val="en-GB"/>
        </w:rPr>
      </w:pPr>
    </w:p>
    <w:p w14:paraId="00000010" w14:textId="77777777" w:rsidR="00667542" w:rsidRPr="004A1E67" w:rsidRDefault="001C12ED">
      <w:pPr>
        <w:pStyle w:val="Heading1"/>
        <w:rPr>
          <w:rFonts w:ascii="Times New Roman" w:eastAsia="Times New Roman" w:hAnsi="Times New Roman" w:cs="Times New Roman"/>
          <w:b/>
          <w:sz w:val="24"/>
          <w:szCs w:val="24"/>
          <w:lang w:val="en-GB"/>
        </w:rPr>
      </w:pPr>
      <w:bookmarkStart w:id="2" w:name="_heading=h.1fob9te" w:colFirst="0" w:colLast="0"/>
      <w:bookmarkEnd w:id="2"/>
      <w:r w:rsidRPr="004A1E67">
        <w:rPr>
          <w:rFonts w:ascii="Times New Roman" w:eastAsia="Times New Roman" w:hAnsi="Times New Roman" w:cs="Times New Roman"/>
          <w:b/>
          <w:sz w:val="24"/>
          <w:szCs w:val="24"/>
          <w:lang w:val="en-GB"/>
        </w:rPr>
        <w:t>Introduction</w:t>
      </w:r>
    </w:p>
    <w:p w14:paraId="00000011" w14:textId="542AEF93" w:rsidR="00667542" w:rsidRPr="004A1E67" w:rsidRDefault="001C12ED">
      <w:pPr>
        <w:spacing w:after="10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Student agency is becoming a central concept in educational policy and practice. It is widely conceived as a policy objective and as a condition for student success. OECD (2019, 2) uses the concept of student agency as a foundational concept to the OECD Learning Compass 2030 ‘rooted in the principle that students have the ability and the will to positively influence their own lives and the world around them’ and defines student agency as ‘the capacity to set a goal, reflect and act responsibly to effect change’. The European Strategy for Universities (European Commission 2022) sets important objectives linked to student agency. Furthermore, the student-</w:t>
      </w:r>
      <w:r w:rsidR="00853AF7" w:rsidRPr="00853AF7">
        <w:rPr>
          <w:rFonts w:ascii="Times New Roman" w:eastAsia="Times New Roman" w:hAnsi="Times New Roman" w:cs="Times New Roman"/>
          <w:sz w:val="24"/>
          <w:szCs w:val="24"/>
          <w:lang w:val="en-GB"/>
        </w:rPr>
        <w:t>centred</w:t>
      </w:r>
      <w:r w:rsidRPr="004A1E67">
        <w:rPr>
          <w:rFonts w:ascii="Times New Roman" w:eastAsia="Times New Roman" w:hAnsi="Times New Roman" w:cs="Times New Roman"/>
          <w:sz w:val="24"/>
          <w:szCs w:val="24"/>
          <w:lang w:val="en-GB"/>
        </w:rPr>
        <w:t xml:space="preserve"> learning and teaching advocated by the Commission as an overarching approach in designing higher education processes is ‘founded on the concept of student agency’ as ‘the element that is exclusive to and inherent in the student-</w:t>
      </w:r>
      <w:r w:rsidR="00853AF7" w:rsidRPr="00853AF7">
        <w:rPr>
          <w:rFonts w:ascii="Times New Roman" w:eastAsia="Times New Roman" w:hAnsi="Times New Roman" w:cs="Times New Roman"/>
          <w:sz w:val="24"/>
          <w:szCs w:val="24"/>
          <w:lang w:val="en-GB"/>
        </w:rPr>
        <w:t>centred</w:t>
      </w:r>
      <w:r w:rsidRPr="004A1E67">
        <w:rPr>
          <w:rFonts w:ascii="Times New Roman" w:eastAsia="Times New Roman" w:hAnsi="Times New Roman" w:cs="Times New Roman"/>
          <w:sz w:val="24"/>
          <w:szCs w:val="24"/>
          <w:lang w:val="en-GB"/>
        </w:rPr>
        <w:t xml:space="preserve"> learning and teaching paradigm’ (European Commission 2020, 8). Yet, despite the higher education policies embracing the concept of student agency, student agency is poorly understood, under-theorized and empirically under-researched (</w:t>
      </w:r>
      <w:proofErr w:type="spellStart"/>
      <w:r w:rsidRPr="004A1E67">
        <w:rPr>
          <w:rFonts w:ascii="Times New Roman" w:eastAsia="Times New Roman" w:hAnsi="Times New Roman" w:cs="Times New Roman"/>
          <w:sz w:val="24"/>
          <w:szCs w:val="24"/>
          <w:lang w:val="en-GB"/>
        </w:rPr>
        <w:t>Stenalt</w:t>
      </w:r>
      <w:proofErr w:type="spellEnd"/>
      <w:r w:rsidRPr="004A1E67">
        <w:rPr>
          <w:rFonts w:ascii="Times New Roman" w:eastAsia="Times New Roman" w:hAnsi="Times New Roman" w:cs="Times New Roman"/>
          <w:sz w:val="24"/>
          <w:szCs w:val="24"/>
          <w:lang w:val="en-GB"/>
        </w:rPr>
        <w:t xml:space="preserve"> &amp; </w:t>
      </w:r>
      <w:proofErr w:type="spellStart"/>
      <w:r w:rsidRPr="004A1E67">
        <w:rPr>
          <w:rFonts w:ascii="Times New Roman" w:eastAsia="Times New Roman" w:hAnsi="Times New Roman" w:cs="Times New Roman"/>
          <w:sz w:val="24"/>
          <w:szCs w:val="24"/>
          <w:lang w:val="en-GB"/>
        </w:rPr>
        <w:t>Lassesen</w:t>
      </w:r>
      <w:proofErr w:type="spellEnd"/>
      <w:r w:rsidRPr="004A1E67">
        <w:rPr>
          <w:rFonts w:ascii="Times New Roman" w:eastAsia="Times New Roman" w:hAnsi="Times New Roman" w:cs="Times New Roman"/>
          <w:sz w:val="24"/>
          <w:szCs w:val="24"/>
          <w:lang w:val="en-GB"/>
        </w:rPr>
        <w:t xml:space="preserve"> 2021; Marín, de Benito &amp; </w:t>
      </w:r>
      <w:proofErr w:type="spellStart"/>
      <w:r w:rsidRPr="004A1E67">
        <w:rPr>
          <w:rFonts w:ascii="Times New Roman" w:eastAsia="Times New Roman" w:hAnsi="Times New Roman" w:cs="Times New Roman"/>
          <w:sz w:val="24"/>
          <w:szCs w:val="24"/>
          <w:lang w:val="en-GB"/>
        </w:rPr>
        <w:t>Darder</w:t>
      </w:r>
      <w:proofErr w:type="spellEnd"/>
      <w:r w:rsidRPr="004A1E67">
        <w:rPr>
          <w:rFonts w:ascii="Times New Roman" w:eastAsia="Times New Roman" w:hAnsi="Times New Roman" w:cs="Times New Roman"/>
          <w:sz w:val="24"/>
          <w:szCs w:val="24"/>
          <w:lang w:val="en-GB"/>
        </w:rPr>
        <w:t xml:space="preserve"> 2020; </w:t>
      </w:r>
      <w:proofErr w:type="spellStart"/>
      <w:r w:rsidRPr="004A1E67">
        <w:rPr>
          <w:rFonts w:ascii="Times New Roman" w:eastAsia="Times New Roman" w:hAnsi="Times New Roman" w:cs="Times New Roman"/>
          <w:sz w:val="24"/>
          <w:szCs w:val="24"/>
          <w:lang w:val="en-GB"/>
        </w:rPr>
        <w:t>Jääskelä</w:t>
      </w:r>
      <w:proofErr w:type="spellEnd"/>
      <w:r w:rsidRPr="004A1E67">
        <w:rPr>
          <w:rFonts w:ascii="Times New Roman" w:eastAsia="Times New Roman" w:hAnsi="Times New Roman" w:cs="Times New Roman"/>
          <w:sz w:val="24"/>
          <w:szCs w:val="24"/>
          <w:lang w:val="en-GB"/>
        </w:rPr>
        <w:t xml:space="preserve"> et al 2020a, b; </w:t>
      </w:r>
      <w:proofErr w:type="spellStart"/>
      <w:r w:rsidRPr="004A1E67">
        <w:rPr>
          <w:rFonts w:ascii="Times New Roman" w:eastAsia="Times New Roman" w:hAnsi="Times New Roman" w:cs="Times New Roman"/>
          <w:sz w:val="24"/>
          <w:szCs w:val="24"/>
          <w:lang w:val="en-GB"/>
        </w:rPr>
        <w:t>Jääskelä</w:t>
      </w:r>
      <w:proofErr w:type="spellEnd"/>
      <w:r w:rsidRPr="004A1E67">
        <w:rPr>
          <w:rFonts w:ascii="Times New Roman" w:eastAsia="Times New Roman" w:hAnsi="Times New Roman" w:cs="Times New Roman"/>
          <w:sz w:val="24"/>
          <w:szCs w:val="24"/>
          <w:lang w:val="en-GB"/>
        </w:rPr>
        <w:t xml:space="preserve"> et al 2016). In a recent first comprehensive review of literature on student agency, </w:t>
      </w:r>
      <w:proofErr w:type="spellStart"/>
      <w:r w:rsidRPr="004A1E67">
        <w:rPr>
          <w:rFonts w:ascii="Times New Roman" w:eastAsia="Times New Roman" w:hAnsi="Times New Roman" w:cs="Times New Roman"/>
          <w:sz w:val="24"/>
          <w:szCs w:val="24"/>
          <w:lang w:val="en-GB"/>
        </w:rPr>
        <w:t>Stenalt</w:t>
      </w:r>
      <w:proofErr w:type="spellEnd"/>
      <w:r w:rsidRPr="004A1E67">
        <w:rPr>
          <w:rFonts w:ascii="Times New Roman" w:eastAsia="Times New Roman" w:hAnsi="Times New Roman" w:cs="Times New Roman"/>
          <w:sz w:val="24"/>
          <w:szCs w:val="24"/>
          <w:lang w:val="en-GB"/>
        </w:rPr>
        <w:t xml:space="preserve"> &amp; </w:t>
      </w:r>
      <w:proofErr w:type="spellStart"/>
      <w:r w:rsidRPr="004A1E67">
        <w:rPr>
          <w:rFonts w:ascii="Times New Roman" w:eastAsia="Times New Roman" w:hAnsi="Times New Roman" w:cs="Times New Roman"/>
          <w:sz w:val="24"/>
          <w:szCs w:val="24"/>
          <w:lang w:val="en-GB"/>
        </w:rPr>
        <w:t>Lassesen</w:t>
      </w:r>
      <w:proofErr w:type="spellEnd"/>
      <w:r w:rsidRPr="004A1E67">
        <w:rPr>
          <w:rFonts w:ascii="Times New Roman" w:eastAsia="Times New Roman" w:hAnsi="Times New Roman" w:cs="Times New Roman"/>
          <w:sz w:val="24"/>
          <w:szCs w:val="24"/>
          <w:lang w:val="en-GB"/>
        </w:rPr>
        <w:t xml:space="preserve"> (2021, 11) conclude that ‘more attention to the construct is needed’. </w:t>
      </w:r>
    </w:p>
    <w:p w14:paraId="00000012" w14:textId="31582B27" w:rsidR="00667542" w:rsidRPr="004A1E67" w:rsidRDefault="001C12ED">
      <w:pPr>
        <w:jc w:val="both"/>
        <w:rPr>
          <w:rFonts w:ascii="Times New Roman" w:eastAsia="Times New Roman" w:hAnsi="Times New Roman" w:cs="Times New Roman"/>
          <w:sz w:val="24"/>
          <w:szCs w:val="24"/>
          <w:highlight w:val="white"/>
          <w:lang w:val="en-GB"/>
        </w:rPr>
      </w:pPr>
      <w:r w:rsidRPr="004A1E67">
        <w:rPr>
          <w:rFonts w:ascii="Times New Roman" w:eastAsia="Times New Roman" w:hAnsi="Times New Roman" w:cs="Times New Roman"/>
          <w:sz w:val="24"/>
          <w:szCs w:val="24"/>
          <w:highlight w:val="white"/>
          <w:lang w:val="en-GB"/>
        </w:rPr>
        <w:lastRenderedPageBreak/>
        <w:t>This chapter proposes a theory of student agency in higher education as an overarching framework for structuring ideas about conditions of student experiences and student achievement in higher education. It is guided by three questions: (1) What is student agency</w:t>
      </w:r>
      <w:r w:rsidR="00250A88" w:rsidRPr="004A1E67">
        <w:rPr>
          <w:rFonts w:ascii="Times New Roman" w:eastAsia="Times New Roman" w:hAnsi="Times New Roman" w:cs="Times New Roman"/>
          <w:sz w:val="24"/>
          <w:szCs w:val="24"/>
          <w:highlight w:val="white"/>
          <w:lang w:val="en-GB"/>
        </w:rPr>
        <w:t>?</w:t>
      </w:r>
      <w:r w:rsidRPr="004A1E67">
        <w:rPr>
          <w:rFonts w:ascii="Times New Roman" w:eastAsia="Times New Roman" w:hAnsi="Times New Roman" w:cs="Times New Roman"/>
          <w:sz w:val="24"/>
          <w:szCs w:val="24"/>
          <w:highlight w:val="white"/>
          <w:lang w:val="en-GB"/>
        </w:rPr>
        <w:t xml:space="preserve"> (2) What are the student agency dynamics across, time, space, and place in higher education (and in the context of transnational higher education cooperation)? (3) How does student agency affect student outcomes? The chapter presents the student agency model which accounts for time, space</w:t>
      </w:r>
      <w:r w:rsidR="00853AF7">
        <w:rPr>
          <w:rFonts w:ascii="Times New Roman" w:eastAsia="Times New Roman" w:hAnsi="Times New Roman" w:cs="Times New Roman"/>
          <w:sz w:val="24"/>
          <w:szCs w:val="24"/>
          <w:highlight w:val="white"/>
          <w:lang w:val="en-GB"/>
        </w:rPr>
        <w:t>,</w:t>
      </w:r>
      <w:r w:rsidRPr="004A1E67">
        <w:rPr>
          <w:rFonts w:ascii="Times New Roman" w:eastAsia="Times New Roman" w:hAnsi="Times New Roman" w:cs="Times New Roman"/>
          <w:sz w:val="24"/>
          <w:szCs w:val="24"/>
          <w:highlight w:val="white"/>
          <w:lang w:val="en-GB"/>
        </w:rPr>
        <w:t xml:space="preserve"> and place dynamics to explain the double “conversion” of agentic orientations in interplay with agentic possibilities within the existing structures to a set of valuable capabilities, as valuable “beings and doings” (cf. Sen 1984) for student experiences and outcomes. </w:t>
      </w:r>
      <w:r w:rsidRPr="004A1E67">
        <w:rPr>
          <w:rFonts w:ascii="Times New Roman" w:eastAsia="Times New Roman" w:hAnsi="Times New Roman" w:cs="Times New Roman"/>
          <w:sz w:val="24"/>
          <w:szCs w:val="24"/>
          <w:lang w:val="en-GB"/>
        </w:rPr>
        <w:t xml:space="preserve">The theory of student agency integrates the focus on institutional structures and processes, and student engagement with these, to students’ capabilities, such as </w:t>
      </w:r>
      <w:r w:rsidRPr="004A1E67">
        <w:rPr>
          <w:rFonts w:ascii="Times New Roman" w:eastAsia="Times New Roman" w:hAnsi="Times New Roman" w:cs="Times New Roman"/>
          <w:sz w:val="24"/>
          <w:szCs w:val="24"/>
          <w:highlight w:val="white"/>
          <w:lang w:val="en-GB"/>
        </w:rPr>
        <w:t>intentionality</w:t>
      </w:r>
      <w:r w:rsidR="00A92BE7" w:rsidRPr="004A1E67">
        <w:rPr>
          <w:rFonts w:ascii="Times New Roman" w:eastAsia="Times New Roman" w:hAnsi="Times New Roman" w:cs="Times New Roman"/>
          <w:sz w:val="24"/>
          <w:szCs w:val="24"/>
          <w:highlight w:val="white"/>
          <w:lang w:val="en-GB"/>
        </w:rPr>
        <w:t>, forethought and self-direction</w:t>
      </w:r>
      <w:r w:rsidRPr="004A1E67">
        <w:rPr>
          <w:rFonts w:ascii="Times New Roman" w:eastAsia="Times New Roman" w:hAnsi="Times New Roman" w:cs="Times New Roman"/>
          <w:sz w:val="24"/>
          <w:szCs w:val="24"/>
          <w:highlight w:val="white"/>
          <w:lang w:val="en-GB"/>
        </w:rPr>
        <w:t>, self-regulation and reflexivity, self-awareness</w:t>
      </w:r>
      <w:r w:rsidR="00A92BE7" w:rsidRPr="004A1E67">
        <w:rPr>
          <w:rFonts w:ascii="Times New Roman" w:eastAsia="Times New Roman" w:hAnsi="Times New Roman" w:cs="Times New Roman"/>
          <w:sz w:val="24"/>
          <w:szCs w:val="24"/>
          <w:highlight w:val="white"/>
          <w:lang w:val="en-GB"/>
        </w:rPr>
        <w:t xml:space="preserve"> and self-authorship,</w:t>
      </w:r>
      <w:r w:rsidRPr="004A1E67">
        <w:rPr>
          <w:rFonts w:ascii="Times New Roman" w:eastAsia="Times New Roman" w:hAnsi="Times New Roman" w:cs="Times New Roman"/>
          <w:sz w:val="24"/>
          <w:szCs w:val="24"/>
          <w:highlight w:val="white"/>
          <w:lang w:val="en-GB"/>
        </w:rPr>
        <w:t xml:space="preserve"> self-efficacy</w:t>
      </w:r>
      <w:r w:rsidR="00A92BE7" w:rsidRPr="004A1E67">
        <w:rPr>
          <w:rFonts w:ascii="Times New Roman" w:eastAsia="Times New Roman" w:hAnsi="Times New Roman" w:cs="Times New Roman"/>
          <w:sz w:val="24"/>
          <w:szCs w:val="24"/>
          <w:highlight w:val="white"/>
          <w:lang w:val="en-GB"/>
        </w:rPr>
        <w:t xml:space="preserve"> and self-determination, and mental wellbeing</w:t>
      </w:r>
      <w:r w:rsidRPr="004A1E67">
        <w:rPr>
          <w:rFonts w:ascii="Times New Roman" w:eastAsia="Times New Roman" w:hAnsi="Times New Roman" w:cs="Times New Roman"/>
          <w:sz w:val="24"/>
          <w:szCs w:val="24"/>
          <w:highlight w:val="white"/>
          <w:lang w:val="en-GB"/>
        </w:rPr>
        <w:t xml:space="preserve"> guiding student interactions and engagements that build their experiences and result in outcomes. In other words, the theory of student agency seeks to explain the students’ self-formation in the context of higher education structures and educational processes; indeed, self-formation as a primary purpose of higher education, as argued by </w:t>
      </w:r>
      <w:proofErr w:type="spellStart"/>
      <w:r w:rsidRPr="004A1E67">
        <w:rPr>
          <w:rFonts w:ascii="Times New Roman" w:eastAsia="Times New Roman" w:hAnsi="Times New Roman" w:cs="Times New Roman"/>
          <w:sz w:val="24"/>
          <w:szCs w:val="24"/>
          <w:highlight w:val="white"/>
          <w:lang w:val="en-GB"/>
        </w:rPr>
        <w:t>Marginson</w:t>
      </w:r>
      <w:proofErr w:type="spellEnd"/>
      <w:r w:rsidRPr="004A1E67">
        <w:rPr>
          <w:rFonts w:ascii="Times New Roman" w:eastAsia="Times New Roman" w:hAnsi="Times New Roman" w:cs="Times New Roman"/>
          <w:sz w:val="24"/>
          <w:szCs w:val="24"/>
          <w:highlight w:val="white"/>
          <w:lang w:val="en-GB"/>
        </w:rPr>
        <w:t xml:space="preserve"> (2014, 2018, forthcoming). </w:t>
      </w:r>
      <w:r w:rsidRPr="004A1E67">
        <w:rPr>
          <w:rFonts w:ascii="Times New Roman" w:eastAsia="Times New Roman" w:hAnsi="Times New Roman" w:cs="Times New Roman"/>
          <w:sz w:val="24"/>
          <w:szCs w:val="24"/>
          <w:lang w:val="en-GB"/>
        </w:rPr>
        <w:t>It expounds on the proposition that student agency is both a condition for students’ self-formation and an outcome of it (</w:t>
      </w:r>
      <w:proofErr w:type="spellStart"/>
      <w:r w:rsidRPr="004A1E67">
        <w:rPr>
          <w:rFonts w:ascii="Times New Roman" w:eastAsia="Times New Roman" w:hAnsi="Times New Roman" w:cs="Times New Roman"/>
          <w:sz w:val="24"/>
          <w:szCs w:val="24"/>
          <w:lang w:val="en-GB"/>
        </w:rPr>
        <w:t>Klemenčič</w:t>
      </w:r>
      <w:proofErr w:type="spellEnd"/>
      <w:r w:rsidRPr="004A1E67">
        <w:rPr>
          <w:rFonts w:ascii="Times New Roman" w:eastAsia="Times New Roman" w:hAnsi="Times New Roman" w:cs="Times New Roman"/>
          <w:sz w:val="24"/>
          <w:szCs w:val="24"/>
          <w:lang w:val="en-GB"/>
        </w:rPr>
        <w:t xml:space="preserve"> 2015a). </w:t>
      </w:r>
    </w:p>
    <w:p w14:paraId="00000013" w14:textId="77777777" w:rsidR="00667542" w:rsidRPr="004A1E67" w:rsidRDefault="00667542">
      <w:pPr>
        <w:jc w:val="both"/>
        <w:rPr>
          <w:rFonts w:ascii="Times New Roman" w:eastAsia="Times New Roman" w:hAnsi="Times New Roman" w:cs="Times New Roman"/>
          <w:sz w:val="24"/>
          <w:szCs w:val="24"/>
          <w:highlight w:val="white"/>
          <w:lang w:val="en-GB"/>
        </w:rPr>
      </w:pPr>
    </w:p>
    <w:p w14:paraId="00000014" w14:textId="77777777" w:rsidR="00667542" w:rsidRPr="004A1E67" w:rsidRDefault="001C12ED">
      <w:pPr>
        <w:jc w:val="both"/>
        <w:rPr>
          <w:rFonts w:ascii="Times New Roman" w:eastAsia="Times New Roman" w:hAnsi="Times New Roman" w:cs="Times New Roman"/>
          <w:sz w:val="24"/>
          <w:szCs w:val="24"/>
          <w:highlight w:val="white"/>
          <w:lang w:val="en-GB"/>
        </w:rPr>
      </w:pPr>
      <w:r w:rsidRPr="004A1E67">
        <w:rPr>
          <w:rFonts w:ascii="Times New Roman" w:eastAsia="Times New Roman" w:hAnsi="Times New Roman" w:cs="Times New Roman"/>
          <w:sz w:val="24"/>
          <w:szCs w:val="24"/>
          <w:lang w:val="en-GB"/>
        </w:rPr>
        <w:t xml:space="preserve">That student engagement in educationally purposeful activities has effects on student experiences and outcomes in higher education </w:t>
      </w:r>
      <w:r w:rsidRPr="004A1E67">
        <w:rPr>
          <w:rFonts w:ascii="Times New Roman" w:eastAsia="Times New Roman" w:hAnsi="Times New Roman" w:cs="Times New Roman"/>
          <w:sz w:val="24"/>
          <w:szCs w:val="24"/>
          <w:highlight w:val="white"/>
          <w:lang w:val="en-GB"/>
        </w:rPr>
        <w:t xml:space="preserve">is well demonstrated in research. The entire field of inquiry on “college effects on students” is devoted to the question how higher education processes and structures impact student outcomes, such as student graduation rates or student employability. Yet, this scholarship tends to ignore that students also have agency which they enact towards their own learning and educational goals, their own “self-formation” or to bring about changes in their higher education environments or beyond. Such enactment of agency inevitably shapes students’ experiences in higher education, their pathways through higher education and ultimately their higher education outcomes. </w:t>
      </w:r>
    </w:p>
    <w:p w14:paraId="00000015" w14:textId="77777777" w:rsidR="00667542" w:rsidRPr="004A1E67" w:rsidRDefault="00667542">
      <w:pPr>
        <w:jc w:val="both"/>
        <w:rPr>
          <w:rFonts w:ascii="Times New Roman" w:eastAsia="Times New Roman" w:hAnsi="Times New Roman" w:cs="Times New Roman"/>
          <w:sz w:val="24"/>
          <w:szCs w:val="24"/>
          <w:highlight w:val="white"/>
          <w:lang w:val="en-GB"/>
        </w:rPr>
      </w:pPr>
    </w:p>
    <w:p w14:paraId="00000016" w14:textId="42DC4A2D" w:rsidR="00667542" w:rsidRPr="004A1E67" w:rsidRDefault="001C12ED">
      <w:pPr>
        <w:jc w:val="both"/>
        <w:rPr>
          <w:rFonts w:ascii="Times New Roman" w:eastAsia="Times New Roman" w:hAnsi="Times New Roman" w:cs="Times New Roman"/>
          <w:sz w:val="24"/>
          <w:szCs w:val="24"/>
          <w:highlight w:val="white"/>
          <w:lang w:val="en-GB"/>
        </w:rPr>
      </w:pPr>
      <w:r w:rsidRPr="004A1E67">
        <w:rPr>
          <w:rFonts w:ascii="Times New Roman" w:eastAsia="Times New Roman" w:hAnsi="Times New Roman" w:cs="Times New Roman"/>
          <w:sz w:val="24"/>
          <w:szCs w:val="24"/>
          <w:highlight w:val="white"/>
          <w:lang w:val="en-GB"/>
        </w:rPr>
        <w:t>In this chapter, student agency is defined as students’ capabilities to navigate</w:t>
      </w:r>
      <w:r w:rsidR="004E0A4F">
        <w:rPr>
          <w:rFonts w:ascii="Times New Roman" w:eastAsia="Times New Roman" w:hAnsi="Times New Roman" w:cs="Times New Roman"/>
          <w:sz w:val="24"/>
          <w:szCs w:val="24"/>
          <w:highlight w:val="white"/>
          <w:lang w:val="en-GB"/>
        </w:rPr>
        <w:t>,</w:t>
      </w:r>
      <w:r w:rsidRPr="004A1E67">
        <w:rPr>
          <w:rFonts w:ascii="Times New Roman" w:eastAsia="Times New Roman" w:hAnsi="Times New Roman" w:cs="Times New Roman"/>
          <w:sz w:val="24"/>
          <w:szCs w:val="24"/>
          <w:highlight w:val="white"/>
          <w:lang w:val="en-GB"/>
        </w:rPr>
        <w:t xml:space="preserve"> influence</w:t>
      </w:r>
      <w:r w:rsidR="004E0A4F">
        <w:rPr>
          <w:rFonts w:ascii="Times New Roman" w:eastAsia="Times New Roman" w:hAnsi="Times New Roman" w:cs="Times New Roman"/>
          <w:sz w:val="24"/>
          <w:szCs w:val="24"/>
          <w:highlight w:val="white"/>
          <w:lang w:val="en-GB"/>
        </w:rPr>
        <w:t>, and take responsibility for</w:t>
      </w:r>
      <w:r w:rsidRPr="004A1E67">
        <w:rPr>
          <w:rFonts w:ascii="Times New Roman" w:eastAsia="Times New Roman" w:hAnsi="Times New Roman" w:cs="Times New Roman"/>
          <w:sz w:val="24"/>
          <w:szCs w:val="24"/>
          <w:highlight w:val="white"/>
          <w:lang w:val="en-GB"/>
        </w:rPr>
        <w:t xml:space="preserve"> their learning and education pathways and environments </w:t>
      </w:r>
      <w:r w:rsidRPr="004A1E67">
        <w:rPr>
          <w:rFonts w:ascii="Times New Roman" w:eastAsia="Times New Roman" w:hAnsi="Times New Roman" w:cs="Times New Roman"/>
          <w:sz w:val="24"/>
          <w:szCs w:val="24"/>
          <w:lang w:val="en-GB"/>
        </w:rPr>
        <w:t>(</w:t>
      </w:r>
      <w:proofErr w:type="spellStart"/>
      <w:r w:rsidRPr="004A1E67">
        <w:rPr>
          <w:rFonts w:ascii="Times New Roman" w:eastAsia="Times New Roman" w:hAnsi="Times New Roman" w:cs="Times New Roman"/>
          <w:sz w:val="24"/>
          <w:szCs w:val="24"/>
          <w:lang w:val="en-GB"/>
        </w:rPr>
        <w:t>Klemenčič</w:t>
      </w:r>
      <w:proofErr w:type="spellEnd"/>
      <w:r w:rsidRPr="004A1E67">
        <w:rPr>
          <w:rFonts w:ascii="Times New Roman" w:eastAsia="Times New Roman" w:hAnsi="Times New Roman" w:cs="Times New Roman"/>
          <w:sz w:val="24"/>
          <w:szCs w:val="24"/>
          <w:lang w:val="en-GB"/>
        </w:rPr>
        <w:t xml:space="preserve"> 2015a, b, 2017, 2018, 2020).</w:t>
      </w:r>
      <w:r w:rsidRPr="004A1E67">
        <w:rPr>
          <w:rFonts w:ascii="Times New Roman" w:eastAsia="Times New Roman" w:hAnsi="Times New Roman" w:cs="Times New Roman"/>
          <w:sz w:val="24"/>
          <w:szCs w:val="24"/>
          <w:highlight w:val="white"/>
          <w:lang w:val="en-GB"/>
        </w:rPr>
        <w:t xml:space="preserve"> The capabilities are understood as valuable “student beings and doings” (cf. Sen 1984), such as being a reflective learner or creating a personal study plan. Students inevitably have some degree of agency in a higher education context. Students have some degree of freedom to act, even if their autonomy is limited by rigid rules and regulations. The structures and processes within higher education institutions prompt students to take actions: to attend lectures, complete assignments, study for exams, borrow books from the library, etc. That is even the case in most authoritarian higher education systems and paternalistic types of higher education institutions. Students also have some agentic orientation, some </w:t>
      </w:r>
      <w:proofErr w:type="gramStart"/>
      <w:r w:rsidRPr="004A1E67">
        <w:rPr>
          <w:rFonts w:ascii="Times New Roman" w:eastAsia="Times New Roman" w:hAnsi="Times New Roman" w:cs="Times New Roman"/>
          <w:sz w:val="24"/>
          <w:szCs w:val="24"/>
          <w:highlight w:val="white"/>
          <w:lang w:val="en-GB"/>
        </w:rPr>
        <w:t>will to</w:t>
      </w:r>
      <w:proofErr w:type="gramEnd"/>
      <w:r w:rsidRPr="004A1E67">
        <w:rPr>
          <w:rFonts w:ascii="Times New Roman" w:eastAsia="Times New Roman" w:hAnsi="Times New Roman" w:cs="Times New Roman"/>
          <w:sz w:val="24"/>
          <w:szCs w:val="24"/>
          <w:highlight w:val="white"/>
          <w:lang w:val="en-GB"/>
        </w:rPr>
        <w:t xml:space="preserve"> act: they have goals or wishes for the future, they are drawn to some subjects more than others, they choose extracurricular activities or </w:t>
      </w:r>
      <w:r w:rsidRPr="004A1E67">
        <w:rPr>
          <w:rFonts w:ascii="Times New Roman" w:eastAsia="Times New Roman" w:hAnsi="Times New Roman" w:cs="Times New Roman"/>
          <w:sz w:val="24"/>
          <w:szCs w:val="24"/>
          <w:highlight w:val="white"/>
          <w:lang w:val="en-GB"/>
        </w:rPr>
        <w:lastRenderedPageBreak/>
        <w:t xml:space="preserve">look for student jobs. However, the nature and degree of development of capabilities for intentional action in pursuit of personal or societal goals varies. </w:t>
      </w:r>
      <w:r w:rsidR="00AF4CE0" w:rsidRPr="004A1E67">
        <w:rPr>
          <w:rFonts w:ascii="Times New Roman" w:eastAsia="Times New Roman" w:hAnsi="Times New Roman" w:cs="Times New Roman"/>
          <w:sz w:val="24"/>
          <w:szCs w:val="24"/>
          <w:highlight w:val="white"/>
          <w:lang w:val="en-GB"/>
        </w:rPr>
        <w:t>Students’ agency is</w:t>
      </w:r>
      <w:r w:rsidRPr="004A1E67">
        <w:rPr>
          <w:rFonts w:ascii="Times New Roman" w:eastAsia="Times New Roman" w:hAnsi="Times New Roman" w:cs="Times New Roman"/>
          <w:sz w:val="24"/>
          <w:szCs w:val="24"/>
          <w:highlight w:val="white"/>
          <w:lang w:val="en-GB"/>
        </w:rPr>
        <w:t xml:space="preserve"> conditioned by agentic opportunities that emerge from the external environment, from the higher education “structures and processes” and agentic orientations that are internal responses of the student to the higher education environment. </w:t>
      </w:r>
    </w:p>
    <w:p w14:paraId="00000017" w14:textId="77777777" w:rsidR="00667542" w:rsidRPr="004A1E67" w:rsidRDefault="00667542">
      <w:pPr>
        <w:jc w:val="both"/>
        <w:rPr>
          <w:rFonts w:ascii="Times New Roman" w:eastAsia="Times New Roman" w:hAnsi="Times New Roman" w:cs="Times New Roman"/>
          <w:sz w:val="24"/>
          <w:szCs w:val="24"/>
          <w:highlight w:val="white"/>
          <w:lang w:val="en-GB"/>
        </w:rPr>
      </w:pPr>
    </w:p>
    <w:p w14:paraId="00000018" w14:textId="5389D011" w:rsidR="00667542" w:rsidRPr="004A1E67" w:rsidRDefault="001C12ED">
      <w:pPr>
        <w:jc w:val="both"/>
        <w:rPr>
          <w:rFonts w:ascii="Times New Roman" w:eastAsia="Times New Roman" w:hAnsi="Times New Roman" w:cs="Times New Roman"/>
          <w:sz w:val="24"/>
          <w:szCs w:val="24"/>
          <w:highlight w:val="white"/>
          <w:lang w:val="en-GB"/>
        </w:rPr>
      </w:pPr>
      <w:r w:rsidRPr="004A1E67">
        <w:rPr>
          <w:rFonts w:ascii="Times New Roman" w:eastAsia="Times New Roman" w:hAnsi="Times New Roman" w:cs="Times New Roman"/>
          <w:sz w:val="24"/>
          <w:szCs w:val="24"/>
          <w:highlight w:val="white"/>
          <w:lang w:val="en-GB"/>
        </w:rPr>
        <w:t>Students also enact agency - individually, collectively or through proxies - towards changes in higher educational environments (i.e., institutional changes) or towards changes in society (i.e., social changes). In the case of instigating institutional changes, students’ objective is to transform situational constraints and opportunities for agency achievement. They are enacting agency to create new opportunities or overcome barriers or to strengthen their own capabilities that will enable them to achieve the desired self-formation goals. In the case of social changes, students</w:t>
      </w:r>
      <w:r w:rsidR="00687B17" w:rsidRPr="004A1E67">
        <w:rPr>
          <w:rFonts w:ascii="Times New Roman" w:eastAsia="Times New Roman" w:hAnsi="Times New Roman" w:cs="Times New Roman"/>
          <w:sz w:val="24"/>
          <w:szCs w:val="24"/>
          <w:highlight w:val="white"/>
          <w:lang w:val="en-GB"/>
        </w:rPr>
        <w:t>’</w:t>
      </w:r>
      <w:r w:rsidRPr="004A1E67">
        <w:rPr>
          <w:rFonts w:ascii="Times New Roman" w:eastAsia="Times New Roman" w:hAnsi="Times New Roman" w:cs="Times New Roman"/>
          <w:sz w:val="24"/>
          <w:szCs w:val="24"/>
          <w:highlight w:val="white"/>
          <w:lang w:val="en-GB"/>
        </w:rPr>
        <w:t xml:space="preserve"> goals are in agency achievement for general (societal) wellbeing (cf. Sen 1984) as a precondition for agency achievement in other areas of functioning, such as for self-formation in higher education. Parallel to and based on the theory of student agency, I have developed a theory of student impact on higher education which seeks to explain the overarching mechanisms of students’ effects on higher education while recognizing that such enactments of agency can also result in students’ self-formation, possibly even at an accelerated rate (</w:t>
      </w:r>
      <w:proofErr w:type="spellStart"/>
      <w:r w:rsidRPr="004A1E67">
        <w:rPr>
          <w:rFonts w:ascii="Times New Roman" w:eastAsia="Times New Roman" w:hAnsi="Times New Roman" w:cs="Times New Roman"/>
          <w:sz w:val="24"/>
          <w:szCs w:val="24"/>
          <w:highlight w:val="white"/>
          <w:lang w:val="en-GB"/>
        </w:rPr>
        <w:t>Klemenčič</w:t>
      </w:r>
      <w:proofErr w:type="spellEnd"/>
      <w:r w:rsidRPr="004A1E67">
        <w:rPr>
          <w:rFonts w:ascii="Times New Roman" w:eastAsia="Times New Roman" w:hAnsi="Times New Roman" w:cs="Times New Roman"/>
          <w:sz w:val="24"/>
          <w:szCs w:val="24"/>
          <w:highlight w:val="white"/>
          <w:lang w:val="en-GB"/>
        </w:rPr>
        <w:t xml:space="preserve"> forthcoming).  </w:t>
      </w:r>
    </w:p>
    <w:p w14:paraId="00000019" w14:textId="77777777" w:rsidR="00667542" w:rsidRPr="004A1E67" w:rsidRDefault="00667542">
      <w:pPr>
        <w:jc w:val="both"/>
        <w:rPr>
          <w:rFonts w:ascii="Times New Roman" w:eastAsia="Times New Roman" w:hAnsi="Times New Roman" w:cs="Times New Roman"/>
          <w:sz w:val="24"/>
          <w:szCs w:val="24"/>
          <w:highlight w:val="white"/>
          <w:lang w:val="en-GB"/>
        </w:rPr>
      </w:pPr>
    </w:p>
    <w:p w14:paraId="0000001A" w14:textId="22F04459" w:rsidR="00667542" w:rsidRPr="004A1E67" w:rsidRDefault="001C12ED">
      <w:pPr>
        <w:jc w:val="both"/>
        <w:rPr>
          <w:rFonts w:ascii="Times New Roman" w:eastAsia="Times New Roman" w:hAnsi="Times New Roman" w:cs="Times New Roman"/>
          <w:color w:val="000000"/>
          <w:sz w:val="24"/>
          <w:szCs w:val="24"/>
          <w:lang w:val="en-GB"/>
        </w:rPr>
      </w:pPr>
      <w:bookmarkStart w:id="3" w:name="_heading=h.3znysh7" w:colFirst="0" w:colLast="0"/>
      <w:bookmarkEnd w:id="3"/>
      <w:r w:rsidRPr="004A1E67">
        <w:rPr>
          <w:rFonts w:ascii="Times New Roman" w:eastAsia="Times New Roman" w:hAnsi="Times New Roman" w:cs="Times New Roman"/>
          <w:sz w:val="24"/>
          <w:szCs w:val="24"/>
          <w:highlight w:val="white"/>
          <w:lang w:val="en-GB"/>
        </w:rPr>
        <w:t xml:space="preserve">The chapter first reviews literature relevant to our understanding of student agency in higher education. </w:t>
      </w:r>
      <w:r w:rsidRPr="004A1E67">
        <w:rPr>
          <w:rFonts w:ascii="Times New Roman" w:eastAsia="Times New Roman" w:hAnsi="Times New Roman" w:cs="Times New Roman"/>
          <w:color w:val="000000"/>
          <w:sz w:val="24"/>
          <w:szCs w:val="24"/>
          <w:lang w:val="en-GB"/>
        </w:rPr>
        <w:t>This section is in conversation with the scholarly literature on college impact on students, on “valuable capabilities” for student self-formation and on student agency in higher education. The main section of the chapter is devoted to the presentation of the theory of student agency. The conclusion discusses the broader implications of the theory of student agency for our understanding of the purposes of higher education.</w:t>
      </w:r>
    </w:p>
    <w:p w14:paraId="0000001B" w14:textId="77777777" w:rsidR="00667542" w:rsidRPr="004A1E67" w:rsidRDefault="001C12ED">
      <w:pPr>
        <w:pStyle w:val="Heading1"/>
        <w:jc w:val="both"/>
        <w:rPr>
          <w:lang w:val="en-GB"/>
        </w:rPr>
      </w:pPr>
      <w:bookmarkStart w:id="4" w:name="_heading=h.2et92p0" w:colFirst="0" w:colLast="0"/>
      <w:bookmarkEnd w:id="4"/>
      <w:r w:rsidRPr="004A1E67">
        <w:rPr>
          <w:lang w:val="en-GB"/>
        </w:rPr>
        <w:t>Review of literature</w:t>
      </w:r>
    </w:p>
    <w:p w14:paraId="0000001D" w14:textId="0F086F85" w:rsidR="00667542" w:rsidRPr="004A1E67" w:rsidRDefault="001C12ED">
      <w:pPr>
        <w:jc w:val="both"/>
        <w:rPr>
          <w:rFonts w:ascii="Times New Roman" w:eastAsia="Times New Roman" w:hAnsi="Times New Roman" w:cs="Times New Roman"/>
          <w:sz w:val="24"/>
          <w:szCs w:val="24"/>
          <w:highlight w:val="white"/>
          <w:lang w:val="en-GB"/>
        </w:rPr>
      </w:pPr>
      <w:r w:rsidRPr="004A1E67">
        <w:rPr>
          <w:rFonts w:ascii="Times New Roman" w:eastAsia="Times New Roman" w:hAnsi="Times New Roman" w:cs="Times New Roman"/>
          <w:sz w:val="24"/>
          <w:szCs w:val="24"/>
          <w:highlight w:val="white"/>
          <w:lang w:val="en-GB"/>
        </w:rPr>
        <w:t>Why do some students have positive experiences of higher education and others not? Why do some students succeed</w:t>
      </w:r>
      <w:r w:rsidR="00687B17" w:rsidRPr="004A1E67">
        <w:rPr>
          <w:rFonts w:ascii="Times New Roman" w:eastAsia="Times New Roman" w:hAnsi="Times New Roman" w:cs="Times New Roman"/>
          <w:sz w:val="24"/>
          <w:szCs w:val="24"/>
          <w:highlight w:val="white"/>
          <w:lang w:val="en-GB"/>
        </w:rPr>
        <w:t>,</w:t>
      </w:r>
      <w:r w:rsidRPr="004A1E67">
        <w:rPr>
          <w:rFonts w:ascii="Times New Roman" w:eastAsia="Times New Roman" w:hAnsi="Times New Roman" w:cs="Times New Roman"/>
          <w:sz w:val="24"/>
          <w:szCs w:val="24"/>
          <w:highlight w:val="white"/>
          <w:lang w:val="en-GB"/>
        </w:rPr>
        <w:t xml:space="preserve"> and others drop out from higher education? </w:t>
      </w:r>
      <w:r w:rsidRPr="004A1E67">
        <w:rPr>
          <w:rFonts w:ascii="Times New Roman" w:eastAsia="Times New Roman" w:hAnsi="Times New Roman" w:cs="Times New Roman"/>
          <w:sz w:val="24"/>
          <w:szCs w:val="24"/>
          <w:lang w:val="en-GB"/>
        </w:rPr>
        <w:t xml:space="preserve">Literature </w:t>
      </w:r>
      <w:r w:rsidRPr="004A1E67">
        <w:rPr>
          <w:rFonts w:ascii="Times New Roman" w:eastAsia="Times New Roman" w:hAnsi="Times New Roman" w:cs="Times New Roman"/>
          <w:color w:val="000000"/>
          <w:sz w:val="24"/>
          <w:szCs w:val="24"/>
          <w:lang w:val="en-GB"/>
        </w:rPr>
        <w:t xml:space="preserve">on college impact on students, </w:t>
      </w:r>
      <w:r w:rsidR="00687B17" w:rsidRPr="004A1E67">
        <w:rPr>
          <w:rFonts w:ascii="Times New Roman" w:eastAsia="Times New Roman" w:hAnsi="Times New Roman" w:cs="Times New Roman"/>
          <w:color w:val="000000"/>
          <w:sz w:val="24"/>
          <w:szCs w:val="24"/>
          <w:lang w:val="en-GB"/>
        </w:rPr>
        <w:t>on “</w:t>
      </w:r>
      <w:r w:rsidRPr="004A1E67">
        <w:rPr>
          <w:rFonts w:ascii="Times New Roman" w:eastAsia="Times New Roman" w:hAnsi="Times New Roman" w:cs="Times New Roman"/>
          <w:color w:val="000000"/>
          <w:sz w:val="24"/>
          <w:szCs w:val="24"/>
          <w:lang w:val="en-GB"/>
        </w:rPr>
        <w:t xml:space="preserve">valuable capabilities” for student self-formation and explicitly on student agency </w:t>
      </w:r>
      <w:r w:rsidRPr="004A1E67">
        <w:rPr>
          <w:rFonts w:ascii="Times New Roman" w:eastAsia="Times New Roman" w:hAnsi="Times New Roman" w:cs="Times New Roman"/>
          <w:sz w:val="24"/>
          <w:szCs w:val="24"/>
          <w:highlight w:val="white"/>
          <w:lang w:val="en-GB"/>
        </w:rPr>
        <w:t>have explored the factors shaping student experiences and student outcomes in higher education.</w:t>
      </w:r>
    </w:p>
    <w:p w14:paraId="0000001E" w14:textId="77777777" w:rsidR="00667542" w:rsidRPr="004A1E67" w:rsidRDefault="001C12ED">
      <w:pPr>
        <w:pStyle w:val="Heading2"/>
        <w:jc w:val="both"/>
        <w:rPr>
          <w:lang w:val="en-GB"/>
        </w:rPr>
      </w:pPr>
      <w:bookmarkStart w:id="5" w:name="_heading=h.tyjcwt" w:colFirst="0" w:colLast="0"/>
      <w:bookmarkEnd w:id="5"/>
      <w:r w:rsidRPr="004A1E67">
        <w:rPr>
          <w:lang w:val="en-GB"/>
        </w:rPr>
        <w:t xml:space="preserve">Literature on the “college effects on students” </w:t>
      </w:r>
    </w:p>
    <w:p w14:paraId="0000001F" w14:textId="77777777" w:rsidR="00667542" w:rsidRPr="004A1E67" w:rsidRDefault="001C12ED">
      <w:pPr>
        <w:jc w:val="both"/>
        <w:rPr>
          <w:rFonts w:ascii="Times New Roman" w:eastAsia="Times New Roman" w:hAnsi="Times New Roman" w:cs="Times New Roman"/>
          <w:sz w:val="24"/>
          <w:szCs w:val="24"/>
          <w:highlight w:val="white"/>
          <w:lang w:val="en-GB"/>
        </w:rPr>
      </w:pPr>
      <w:r w:rsidRPr="004A1E67">
        <w:rPr>
          <w:rFonts w:ascii="Times New Roman" w:eastAsia="Times New Roman" w:hAnsi="Times New Roman" w:cs="Times New Roman"/>
          <w:sz w:val="24"/>
          <w:szCs w:val="24"/>
          <w:highlight w:val="white"/>
          <w:lang w:val="en-GB"/>
        </w:rPr>
        <w:t xml:space="preserve">Much of research in sociology of higher education has focused on students’ college outcomes as a function of the higher education “structures and processes”, i.e., characteristics of institutions and of their educational programs. This field is concerned with identifying causal linkages between various aspects of the college environment, student experiences and student outcomes (Pascarella </w:t>
      </w:r>
      <w:r w:rsidRPr="004A1E67">
        <w:rPr>
          <w:rFonts w:ascii="Times New Roman" w:eastAsia="Times New Roman" w:hAnsi="Times New Roman" w:cs="Times New Roman"/>
          <w:sz w:val="24"/>
          <w:szCs w:val="24"/>
          <w:highlight w:val="white"/>
          <w:lang w:val="en-GB"/>
        </w:rPr>
        <w:lastRenderedPageBreak/>
        <w:t xml:space="preserve">&amp; </w:t>
      </w:r>
      <w:proofErr w:type="spellStart"/>
      <w:r w:rsidRPr="004A1E67">
        <w:rPr>
          <w:rFonts w:ascii="Times New Roman" w:eastAsia="Times New Roman" w:hAnsi="Times New Roman" w:cs="Times New Roman"/>
          <w:sz w:val="24"/>
          <w:szCs w:val="24"/>
          <w:highlight w:val="white"/>
          <w:lang w:val="en-GB"/>
        </w:rPr>
        <w:t>Terenzini</w:t>
      </w:r>
      <w:proofErr w:type="spellEnd"/>
      <w:r w:rsidRPr="004A1E67">
        <w:rPr>
          <w:rFonts w:ascii="Times New Roman" w:eastAsia="Times New Roman" w:hAnsi="Times New Roman" w:cs="Times New Roman"/>
          <w:sz w:val="24"/>
          <w:szCs w:val="24"/>
          <w:highlight w:val="white"/>
          <w:lang w:val="en-GB"/>
        </w:rPr>
        <w:t xml:space="preserve">, 1991, 2005; </w:t>
      </w:r>
      <w:proofErr w:type="spellStart"/>
      <w:r w:rsidRPr="004A1E67">
        <w:rPr>
          <w:rFonts w:ascii="Times New Roman" w:eastAsia="Times New Roman" w:hAnsi="Times New Roman" w:cs="Times New Roman"/>
          <w:sz w:val="24"/>
          <w:szCs w:val="24"/>
          <w:highlight w:val="white"/>
          <w:lang w:val="en-GB"/>
        </w:rPr>
        <w:t>Kuh</w:t>
      </w:r>
      <w:proofErr w:type="spellEnd"/>
      <w:r w:rsidRPr="004A1E67">
        <w:rPr>
          <w:rFonts w:ascii="Times New Roman" w:eastAsia="Times New Roman" w:hAnsi="Times New Roman" w:cs="Times New Roman"/>
          <w:sz w:val="24"/>
          <w:szCs w:val="24"/>
          <w:highlight w:val="white"/>
          <w:lang w:val="en-GB"/>
        </w:rPr>
        <w:t xml:space="preserve"> 2009; Mayhew et al 2016). Several notable theories emerged in this body of literature.</w:t>
      </w:r>
    </w:p>
    <w:p w14:paraId="00000020" w14:textId="77777777" w:rsidR="00667542" w:rsidRPr="004A1E67" w:rsidRDefault="00667542">
      <w:pPr>
        <w:jc w:val="both"/>
        <w:rPr>
          <w:rFonts w:ascii="Times New Roman" w:eastAsia="Times New Roman" w:hAnsi="Times New Roman" w:cs="Times New Roman"/>
          <w:sz w:val="24"/>
          <w:szCs w:val="24"/>
          <w:highlight w:val="white"/>
          <w:lang w:val="en-GB"/>
        </w:rPr>
      </w:pPr>
    </w:p>
    <w:p w14:paraId="00000021" w14:textId="3EF1CFE1" w:rsidR="00667542" w:rsidRPr="004A1E67" w:rsidRDefault="001C12ED">
      <w:pPr>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highlight w:val="white"/>
          <w:lang w:val="en-GB"/>
        </w:rPr>
        <w:t xml:space="preserve">The Model of the Dropout Process developed by </w:t>
      </w:r>
      <w:proofErr w:type="spellStart"/>
      <w:r w:rsidRPr="004A1E67">
        <w:rPr>
          <w:rFonts w:ascii="Times New Roman" w:eastAsia="Times New Roman" w:hAnsi="Times New Roman" w:cs="Times New Roman"/>
          <w:sz w:val="24"/>
          <w:szCs w:val="24"/>
          <w:highlight w:val="white"/>
          <w:lang w:val="en-GB"/>
        </w:rPr>
        <w:t>Spady</w:t>
      </w:r>
      <w:proofErr w:type="spellEnd"/>
      <w:r w:rsidRPr="004A1E67">
        <w:rPr>
          <w:rFonts w:ascii="Times New Roman" w:eastAsia="Times New Roman" w:hAnsi="Times New Roman" w:cs="Times New Roman"/>
          <w:sz w:val="24"/>
          <w:szCs w:val="24"/>
          <w:highlight w:val="white"/>
          <w:lang w:val="en-GB"/>
        </w:rPr>
        <w:t xml:space="preserve"> (1971) considers sociological aspects of students’ academic and social integration – “normative congruence” - as explanatory factors in the dropout process. </w:t>
      </w:r>
      <w:proofErr w:type="spellStart"/>
      <w:r w:rsidRPr="004A1E67">
        <w:rPr>
          <w:rFonts w:ascii="Times New Roman" w:eastAsia="Times New Roman" w:hAnsi="Times New Roman" w:cs="Times New Roman"/>
          <w:sz w:val="24"/>
          <w:szCs w:val="24"/>
          <w:highlight w:val="white"/>
          <w:lang w:val="en-GB"/>
        </w:rPr>
        <w:t>Spady</w:t>
      </w:r>
      <w:proofErr w:type="spellEnd"/>
      <w:r w:rsidRPr="004A1E67">
        <w:rPr>
          <w:rFonts w:ascii="Times New Roman" w:eastAsia="Times New Roman" w:hAnsi="Times New Roman" w:cs="Times New Roman"/>
          <w:sz w:val="24"/>
          <w:szCs w:val="24"/>
          <w:highlight w:val="white"/>
          <w:lang w:val="en-GB"/>
        </w:rPr>
        <w:t xml:space="preserve"> (1971, 39) suggests that ‘the concept of normative congruence refers to the general degree of compatibility between the dispositions, interests, attitudes, and expectations of the student and the set of </w:t>
      </w:r>
      <w:r w:rsidR="005B73ED" w:rsidRPr="004A1E67">
        <w:rPr>
          <w:rFonts w:ascii="Times New Roman" w:eastAsia="Times New Roman" w:hAnsi="Times New Roman" w:cs="Times New Roman"/>
          <w:sz w:val="24"/>
          <w:szCs w:val="24"/>
          <w:highlight w:val="white"/>
          <w:lang w:val="en-GB"/>
        </w:rPr>
        <w:t>behaviours</w:t>
      </w:r>
      <w:r w:rsidRPr="004A1E67">
        <w:rPr>
          <w:rFonts w:ascii="Times New Roman" w:eastAsia="Times New Roman" w:hAnsi="Times New Roman" w:cs="Times New Roman"/>
          <w:sz w:val="24"/>
          <w:szCs w:val="24"/>
          <w:highlight w:val="white"/>
          <w:lang w:val="en-GB"/>
        </w:rPr>
        <w:t xml:space="preserve">, expectations, and demands to which he may be exposed as the result of interaction with a variety of individuals in the college environment’. Tinto’s retention model (1975) also posits that interactions alone in social and academic communities do not guarantee persistence of students; some degree of social and academic integration of students into their college environments must exist. This model highlights the students’ personal “input factors”: family background, pre-college schooling and individual attributes which define students’ goal commitments. Through interactions with academic and social structures students then achieve academic and social integration both of which are equally important for students’ persistence in college. Finally, the influential </w:t>
      </w:r>
      <w:proofErr w:type="spellStart"/>
      <w:r w:rsidRPr="004A1E67">
        <w:rPr>
          <w:rFonts w:ascii="Times New Roman" w:eastAsia="Times New Roman" w:hAnsi="Times New Roman" w:cs="Times New Roman"/>
          <w:sz w:val="24"/>
          <w:szCs w:val="24"/>
          <w:highlight w:val="white"/>
          <w:lang w:val="en-GB"/>
        </w:rPr>
        <w:t>Astin’s</w:t>
      </w:r>
      <w:proofErr w:type="spellEnd"/>
      <w:r w:rsidRPr="004A1E67">
        <w:rPr>
          <w:rFonts w:ascii="Times New Roman" w:eastAsia="Times New Roman" w:hAnsi="Times New Roman" w:cs="Times New Roman"/>
          <w:sz w:val="24"/>
          <w:szCs w:val="24"/>
          <w:highlight w:val="white"/>
          <w:lang w:val="en-GB"/>
        </w:rPr>
        <w:t xml:space="preserve"> (1984) involvement theory submits that student success in college depends on student involvement. Student involvement refers</w:t>
      </w:r>
      <w:r w:rsidRPr="004A1E67">
        <w:rPr>
          <w:rFonts w:ascii="Times New Roman" w:eastAsia="Times New Roman" w:hAnsi="Times New Roman" w:cs="Times New Roman"/>
          <w:sz w:val="24"/>
          <w:szCs w:val="24"/>
          <w:lang w:val="en-GB"/>
        </w:rPr>
        <w:t xml:space="preserve"> ‘to the amount of physical and psychological energy that the student devotes to the academic experience’ (</w:t>
      </w:r>
      <w:proofErr w:type="spellStart"/>
      <w:r w:rsidRPr="004A1E67">
        <w:rPr>
          <w:rFonts w:ascii="Times New Roman" w:eastAsia="Times New Roman" w:hAnsi="Times New Roman" w:cs="Times New Roman"/>
          <w:sz w:val="24"/>
          <w:szCs w:val="24"/>
          <w:lang w:val="en-GB"/>
        </w:rPr>
        <w:t>Astin</w:t>
      </w:r>
      <w:proofErr w:type="spellEnd"/>
      <w:r w:rsidRPr="004A1E67">
        <w:rPr>
          <w:rFonts w:ascii="Times New Roman" w:eastAsia="Times New Roman" w:hAnsi="Times New Roman" w:cs="Times New Roman"/>
          <w:sz w:val="24"/>
          <w:szCs w:val="24"/>
          <w:lang w:val="en-GB"/>
        </w:rPr>
        <w:t xml:space="preserve"> 1984, 518). </w:t>
      </w:r>
      <w:r w:rsidRPr="004A1E67">
        <w:rPr>
          <w:rFonts w:ascii="Times New Roman" w:eastAsia="Times New Roman" w:hAnsi="Times New Roman" w:cs="Times New Roman"/>
          <w:sz w:val="24"/>
          <w:szCs w:val="24"/>
          <w:highlight w:val="white"/>
          <w:lang w:val="en-GB"/>
        </w:rPr>
        <w:t xml:space="preserve">In other words, the extent to which students can achieve developmental goals is a direct function of the time and effort they devote to activities designed to produce these gains. </w:t>
      </w:r>
    </w:p>
    <w:p w14:paraId="00000022" w14:textId="77777777" w:rsidR="00667542" w:rsidRPr="004A1E67" w:rsidRDefault="00667542">
      <w:pPr>
        <w:jc w:val="both"/>
        <w:rPr>
          <w:rFonts w:ascii="Times New Roman" w:eastAsia="Times New Roman" w:hAnsi="Times New Roman" w:cs="Times New Roman"/>
          <w:sz w:val="24"/>
          <w:szCs w:val="24"/>
          <w:lang w:val="en-GB"/>
        </w:rPr>
      </w:pPr>
    </w:p>
    <w:p w14:paraId="00000023" w14:textId="77777777" w:rsidR="00667542" w:rsidRPr="004A1E67" w:rsidRDefault="001C12ED">
      <w:pPr>
        <w:jc w:val="both"/>
        <w:rPr>
          <w:rFonts w:ascii="Times New Roman" w:eastAsia="Times New Roman" w:hAnsi="Times New Roman" w:cs="Times New Roman"/>
          <w:sz w:val="24"/>
          <w:szCs w:val="24"/>
          <w:highlight w:val="white"/>
          <w:lang w:val="en-GB"/>
        </w:rPr>
      </w:pPr>
      <w:r w:rsidRPr="004A1E67">
        <w:rPr>
          <w:rFonts w:ascii="Times New Roman" w:eastAsia="Times New Roman" w:hAnsi="Times New Roman" w:cs="Times New Roman"/>
          <w:sz w:val="24"/>
          <w:szCs w:val="24"/>
          <w:lang w:val="en-GB"/>
        </w:rPr>
        <w:t xml:space="preserve">The emphasis of these theories on students’ interactions and engagements in the higher education context is important. Naturally, it is through the interactions with people in the higher education context and engagements in various activities offered by higher education institutions that students form their experiences and achieve outcomes. But merely the frequency, duration and objectives of these interactions and engagements, does not offer a satisfactory explanation of why some students do better than others, even if control for their background and personality characteristics. </w:t>
      </w:r>
      <w:r w:rsidRPr="004A1E67">
        <w:rPr>
          <w:rFonts w:ascii="Times New Roman" w:eastAsia="Times New Roman" w:hAnsi="Times New Roman" w:cs="Times New Roman"/>
          <w:sz w:val="24"/>
          <w:szCs w:val="24"/>
          <w:highlight w:val="white"/>
          <w:lang w:val="en-GB"/>
        </w:rPr>
        <w:t>The quality of student interactions and engagements in higher education contexts (Biesta &amp; Tedder 2006, 2007; Biesta &amp; Robinson 2015; Biesta 2010) which is conditioned by students entering into these engagements with the aforementioned capabilities, such as intentionality,  forethought, self-regulation and reflexivity, self-awareness and self-efficacy, is much less convincingly accounted for in the existing theories (see also Kahu (2013) for important development of the concept student engagement). Most of research stemming from these theoretical models does not address the question of how students make meaning of the possibilities and resources available to them in higher education environment and how they formulate their life narratives which, as suggested by Biesta and Tedder (2007, 132), can be an important vehicle for learning about one’s agentic orientations.</w:t>
      </w:r>
    </w:p>
    <w:p w14:paraId="00000024" w14:textId="77777777" w:rsidR="00667542" w:rsidRPr="004A1E67" w:rsidRDefault="00667542">
      <w:pPr>
        <w:jc w:val="both"/>
        <w:rPr>
          <w:rFonts w:ascii="Times New Roman" w:eastAsia="Times New Roman" w:hAnsi="Times New Roman" w:cs="Times New Roman"/>
          <w:sz w:val="24"/>
          <w:szCs w:val="24"/>
          <w:highlight w:val="white"/>
          <w:lang w:val="en-GB"/>
        </w:rPr>
      </w:pPr>
    </w:p>
    <w:p w14:paraId="00000025" w14:textId="49499D5C" w:rsidR="00667542" w:rsidRPr="004E0A4F" w:rsidRDefault="001C12ED">
      <w:pPr>
        <w:jc w:val="both"/>
        <w:rPr>
          <w:rFonts w:ascii="Times New Roman" w:eastAsia="Times New Roman" w:hAnsi="Times New Roman" w:cs="Times New Roman"/>
          <w:sz w:val="24"/>
          <w:szCs w:val="24"/>
          <w:highlight w:val="white"/>
          <w:lang w:val="en-GB"/>
        </w:rPr>
      </w:pPr>
      <w:r w:rsidRPr="004A1E67">
        <w:rPr>
          <w:rFonts w:ascii="Times New Roman" w:eastAsia="Times New Roman" w:hAnsi="Times New Roman" w:cs="Times New Roman"/>
          <w:sz w:val="24"/>
          <w:szCs w:val="24"/>
          <w:highlight w:val="white"/>
          <w:lang w:val="en-GB"/>
        </w:rPr>
        <w:t>Also, studies that focus merely on d</w:t>
      </w:r>
      <w:r w:rsidRPr="004A1E67">
        <w:rPr>
          <w:rFonts w:ascii="Times New Roman" w:eastAsia="Times New Roman" w:hAnsi="Times New Roman" w:cs="Times New Roman"/>
          <w:sz w:val="24"/>
          <w:szCs w:val="24"/>
          <w:lang w:val="en-GB"/>
        </w:rPr>
        <w:t xml:space="preserve">iversity of student backgrounds as a factor </w:t>
      </w:r>
      <w:r w:rsidR="00687B17" w:rsidRPr="004A1E67">
        <w:rPr>
          <w:rFonts w:ascii="Times New Roman" w:eastAsia="Times New Roman" w:hAnsi="Times New Roman" w:cs="Times New Roman"/>
          <w:sz w:val="24"/>
          <w:szCs w:val="24"/>
          <w:lang w:val="en-GB"/>
        </w:rPr>
        <w:t>determining differential</w:t>
      </w:r>
      <w:r w:rsidRPr="004A1E67">
        <w:rPr>
          <w:rFonts w:ascii="Times New Roman" w:eastAsia="Times New Roman" w:hAnsi="Times New Roman" w:cs="Times New Roman"/>
          <w:sz w:val="24"/>
          <w:szCs w:val="24"/>
          <w:lang w:val="en-GB"/>
        </w:rPr>
        <w:t xml:space="preserve"> student outcomes are important but incomplete. A considerable body of research </w:t>
      </w:r>
      <w:r w:rsidRPr="004A1E67">
        <w:rPr>
          <w:rFonts w:ascii="Times New Roman" w:eastAsia="Times New Roman" w:hAnsi="Times New Roman" w:cs="Times New Roman"/>
          <w:sz w:val="24"/>
          <w:szCs w:val="24"/>
          <w:lang w:val="en-GB"/>
        </w:rPr>
        <w:lastRenderedPageBreak/>
        <w:t>highlights educational inequalities in access to and attainment of higher education, whereby first generation, lower socio-economic status, and working students are considered more high-risk for dropping out and for lower educational outcomes (</w:t>
      </w:r>
      <w:r w:rsidRPr="004A1E67">
        <w:rPr>
          <w:rFonts w:ascii="Times New Roman" w:eastAsia="Times New Roman" w:hAnsi="Times New Roman" w:cs="Times New Roman"/>
          <w:sz w:val="24"/>
          <w:szCs w:val="24"/>
          <w:highlight w:val="white"/>
          <w:lang w:val="en-GB"/>
        </w:rPr>
        <w:t xml:space="preserve">Stevenson 2012; Hurtado and Ruiz 2012; Hurtado et al 2012; </w:t>
      </w:r>
      <w:proofErr w:type="spellStart"/>
      <w:r w:rsidRPr="004A1E67">
        <w:rPr>
          <w:rFonts w:ascii="Times New Roman" w:eastAsia="Times New Roman" w:hAnsi="Times New Roman" w:cs="Times New Roman"/>
          <w:sz w:val="24"/>
          <w:szCs w:val="24"/>
          <w:highlight w:val="white"/>
          <w:lang w:val="en-GB"/>
        </w:rPr>
        <w:t>Perna</w:t>
      </w:r>
      <w:proofErr w:type="spellEnd"/>
      <w:r w:rsidRPr="004A1E67">
        <w:rPr>
          <w:rFonts w:ascii="Times New Roman" w:eastAsia="Times New Roman" w:hAnsi="Times New Roman" w:cs="Times New Roman"/>
          <w:sz w:val="24"/>
          <w:szCs w:val="24"/>
          <w:highlight w:val="white"/>
          <w:lang w:val="en-GB"/>
        </w:rPr>
        <w:t xml:space="preserve"> 2005; Pascarella et al 2004; </w:t>
      </w:r>
      <w:proofErr w:type="spellStart"/>
      <w:r w:rsidRPr="004A1E67">
        <w:rPr>
          <w:rFonts w:ascii="Times New Roman" w:eastAsia="Times New Roman" w:hAnsi="Times New Roman" w:cs="Times New Roman"/>
          <w:sz w:val="24"/>
          <w:szCs w:val="24"/>
          <w:highlight w:val="white"/>
          <w:lang w:val="en-GB"/>
        </w:rPr>
        <w:t>Gurin</w:t>
      </w:r>
      <w:proofErr w:type="spellEnd"/>
      <w:r w:rsidRPr="004A1E67">
        <w:rPr>
          <w:rFonts w:ascii="Times New Roman" w:eastAsia="Times New Roman" w:hAnsi="Times New Roman" w:cs="Times New Roman"/>
          <w:sz w:val="24"/>
          <w:szCs w:val="24"/>
          <w:highlight w:val="white"/>
          <w:lang w:val="en-GB"/>
        </w:rPr>
        <w:t xml:space="preserve"> et al 2002). However, underprivileged students can and often do achieve their educational goals despite the challenges encountered. In fact, high-achieving underprivileged students demonstrate remarkable capabilities to navigate and influence their learning and education pathways and environments, i.e., remarkable agency towards self-formation reinforcing their resilience and persistence. At the same time, students from affluent backgrounds can fail academically. Thus, student background is not a defining factor</w:t>
      </w:r>
      <w:sdt>
        <w:sdtPr>
          <w:rPr>
            <w:lang w:val="en-GB"/>
          </w:rPr>
          <w:tag w:val="goog_rdk_1"/>
          <w:id w:val="762494777"/>
        </w:sdtPr>
        <w:sdtEndPr/>
        <w:sdtContent/>
      </w:sdt>
      <w:r w:rsidRPr="004E0A4F">
        <w:rPr>
          <w:rFonts w:ascii="Times New Roman" w:eastAsia="Times New Roman" w:hAnsi="Times New Roman" w:cs="Times New Roman"/>
          <w:sz w:val="24"/>
          <w:szCs w:val="24"/>
          <w:highlight w:val="white"/>
          <w:lang w:val="en-GB"/>
        </w:rPr>
        <w:t xml:space="preserve"> of student</w:t>
      </w:r>
      <w:r w:rsidR="00241C28" w:rsidRPr="004E0A4F">
        <w:rPr>
          <w:rFonts w:ascii="Times New Roman" w:eastAsia="Times New Roman" w:hAnsi="Times New Roman" w:cs="Times New Roman"/>
          <w:sz w:val="24"/>
          <w:szCs w:val="24"/>
          <w:highlight w:val="white"/>
          <w:lang w:val="en-GB"/>
        </w:rPr>
        <w:t xml:space="preserve"> achievement</w:t>
      </w:r>
      <w:r w:rsidRPr="004E0A4F">
        <w:rPr>
          <w:rFonts w:ascii="Times New Roman" w:eastAsia="Times New Roman" w:hAnsi="Times New Roman" w:cs="Times New Roman"/>
          <w:sz w:val="24"/>
          <w:szCs w:val="24"/>
          <w:highlight w:val="white"/>
          <w:lang w:val="en-GB"/>
        </w:rPr>
        <w:t xml:space="preserve">, even if it can have significant effects on students’ educational trajectories. </w:t>
      </w:r>
    </w:p>
    <w:p w14:paraId="00000026" w14:textId="77777777" w:rsidR="00667542" w:rsidRPr="004E0A4F" w:rsidRDefault="00667542">
      <w:pPr>
        <w:jc w:val="both"/>
        <w:rPr>
          <w:rFonts w:ascii="Times New Roman" w:eastAsia="Times New Roman" w:hAnsi="Times New Roman" w:cs="Times New Roman"/>
          <w:sz w:val="24"/>
          <w:szCs w:val="24"/>
          <w:highlight w:val="white"/>
          <w:lang w:val="en-GB"/>
        </w:rPr>
      </w:pPr>
    </w:p>
    <w:p w14:paraId="00000027" w14:textId="50CBCD94" w:rsidR="00667542" w:rsidRPr="004E0A4F" w:rsidRDefault="001C12ED">
      <w:pPr>
        <w:jc w:val="both"/>
        <w:rPr>
          <w:rFonts w:ascii="Times New Roman" w:eastAsia="Times New Roman" w:hAnsi="Times New Roman" w:cs="Times New Roman"/>
          <w:sz w:val="24"/>
          <w:szCs w:val="24"/>
          <w:highlight w:val="white"/>
          <w:lang w:val="en-GB"/>
        </w:rPr>
      </w:pPr>
      <w:r w:rsidRPr="004E0A4F">
        <w:rPr>
          <w:rFonts w:ascii="Times New Roman" w:eastAsia="Times New Roman" w:hAnsi="Times New Roman" w:cs="Times New Roman"/>
          <w:sz w:val="24"/>
          <w:szCs w:val="24"/>
          <w:highlight w:val="white"/>
          <w:lang w:val="en-GB"/>
        </w:rPr>
        <w:t>This chapter argues that we need a comprehensive theoretical framework that addresses not only what agentic orientations student have, what agentic opportunities and resources they perceive, and what the relationships between student agency and outcome are, but also how they construct ideas about their “possible future selves” (</w:t>
      </w:r>
      <w:proofErr w:type="spellStart"/>
      <w:r w:rsidRPr="004E0A4F">
        <w:rPr>
          <w:rFonts w:ascii="Times New Roman" w:eastAsia="Times New Roman" w:hAnsi="Times New Roman" w:cs="Times New Roman"/>
          <w:sz w:val="24"/>
          <w:szCs w:val="24"/>
          <w:highlight w:val="white"/>
          <w:lang w:val="en-GB"/>
        </w:rPr>
        <w:t>Leondari</w:t>
      </w:r>
      <w:proofErr w:type="spellEnd"/>
      <w:r w:rsidRPr="004E0A4F">
        <w:rPr>
          <w:rFonts w:ascii="Times New Roman" w:eastAsia="Times New Roman" w:hAnsi="Times New Roman" w:cs="Times New Roman"/>
          <w:sz w:val="24"/>
          <w:szCs w:val="24"/>
          <w:highlight w:val="white"/>
          <w:lang w:val="en-GB"/>
        </w:rPr>
        <w:t xml:space="preserve"> 2007; Clegg and </w:t>
      </w:r>
      <w:proofErr w:type="spellStart"/>
      <w:r w:rsidRPr="004E0A4F">
        <w:rPr>
          <w:rFonts w:ascii="Times New Roman" w:eastAsia="Times New Roman" w:hAnsi="Times New Roman" w:cs="Times New Roman"/>
          <w:sz w:val="24"/>
          <w:szCs w:val="24"/>
          <w:highlight w:val="white"/>
          <w:lang w:val="en-GB"/>
        </w:rPr>
        <w:t>Bufton</w:t>
      </w:r>
      <w:proofErr w:type="spellEnd"/>
      <w:r w:rsidRPr="004E0A4F">
        <w:rPr>
          <w:rFonts w:ascii="Times New Roman" w:eastAsia="Times New Roman" w:hAnsi="Times New Roman" w:cs="Times New Roman"/>
          <w:sz w:val="24"/>
          <w:szCs w:val="24"/>
          <w:highlight w:val="white"/>
          <w:lang w:val="en-GB"/>
        </w:rPr>
        <w:t xml:space="preserve"> 2008; Clegg 2010; Stevenson &amp; Clegg 2011), how their background conditions these projections (Ball et al 2002; Reay et al 2005; Reay et al 2010; Stevenson &amp; Clegg 2011; Burke, Scurry &amp; Blenkinsopp 2020), and why and how they choose  their engagements in curricular, extracurricular and employment activities (Clegg &amp; Bradley 2006; Clegg &amp; </w:t>
      </w:r>
      <w:proofErr w:type="spellStart"/>
      <w:r w:rsidRPr="004E0A4F">
        <w:rPr>
          <w:rFonts w:ascii="Times New Roman" w:eastAsia="Times New Roman" w:hAnsi="Times New Roman" w:cs="Times New Roman"/>
          <w:sz w:val="24"/>
          <w:szCs w:val="24"/>
          <w:highlight w:val="white"/>
          <w:lang w:val="en-GB"/>
        </w:rPr>
        <w:t>Bufton</w:t>
      </w:r>
      <w:proofErr w:type="spellEnd"/>
      <w:r w:rsidRPr="004E0A4F">
        <w:rPr>
          <w:rFonts w:ascii="Times New Roman" w:eastAsia="Times New Roman" w:hAnsi="Times New Roman" w:cs="Times New Roman"/>
          <w:sz w:val="24"/>
          <w:szCs w:val="24"/>
          <w:highlight w:val="white"/>
          <w:lang w:val="en-GB"/>
        </w:rPr>
        <w:t xml:space="preserve"> 2008; Clegg, Stevenson &amp; </w:t>
      </w:r>
      <w:proofErr w:type="spellStart"/>
      <w:r w:rsidRPr="004E0A4F">
        <w:rPr>
          <w:rFonts w:ascii="Times New Roman" w:eastAsia="Times New Roman" w:hAnsi="Times New Roman" w:cs="Times New Roman"/>
          <w:sz w:val="24"/>
          <w:szCs w:val="24"/>
          <w:highlight w:val="white"/>
          <w:lang w:val="en-GB"/>
        </w:rPr>
        <w:t>Willott</w:t>
      </w:r>
      <w:proofErr w:type="spellEnd"/>
      <w:r w:rsidRPr="004E0A4F">
        <w:rPr>
          <w:rFonts w:ascii="Times New Roman" w:eastAsia="Times New Roman" w:hAnsi="Times New Roman" w:cs="Times New Roman"/>
          <w:sz w:val="24"/>
          <w:szCs w:val="24"/>
          <w:highlight w:val="white"/>
          <w:lang w:val="en-GB"/>
        </w:rPr>
        <w:t xml:space="preserve"> 2010; Bennett, Knight &amp; Bell 2020; Griffiths et al 2021). Accounting for the student capabilities that define the quality of student engagements in higher education and ultimately shape student experiences and outcomes is crucial for all students but especially for exploring inclusion and success of underprivileged and vulnerable groups of students (</w:t>
      </w:r>
      <w:proofErr w:type="spellStart"/>
      <w:r w:rsidRPr="004E0A4F">
        <w:rPr>
          <w:rFonts w:ascii="Times New Roman" w:eastAsia="Times New Roman" w:hAnsi="Times New Roman" w:cs="Times New Roman"/>
          <w:sz w:val="24"/>
          <w:szCs w:val="24"/>
          <w:highlight w:val="white"/>
          <w:lang w:val="en-GB"/>
        </w:rPr>
        <w:t>Gurin</w:t>
      </w:r>
      <w:proofErr w:type="spellEnd"/>
      <w:r w:rsidRPr="004E0A4F">
        <w:rPr>
          <w:rFonts w:ascii="Times New Roman" w:eastAsia="Times New Roman" w:hAnsi="Times New Roman" w:cs="Times New Roman"/>
          <w:sz w:val="24"/>
          <w:szCs w:val="24"/>
          <w:highlight w:val="white"/>
          <w:lang w:val="en-GB"/>
        </w:rPr>
        <w:t xml:space="preserve"> et al 2002; Ball et al 2002; Reay et al. 2005, 2010).</w:t>
      </w:r>
    </w:p>
    <w:p w14:paraId="00000029" w14:textId="77777777" w:rsidR="00667542" w:rsidRPr="004E0A4F" w:rsidRDefault="00667542">
      <w:pPr>
        <w:jc w:val="both"/>
        <w:rPr>
          <w:rFonts w:ascii="Times New Roman" w:eastAsia="Times New Roman" w:hAnsi="Times New Roman" w:cs="Times New Roman"/>
          <w:sz w:val="24"/>
          <w:szCs w:val="24"/>
          <w:highlight w:val="white"/>
          <w:lang w:val="en-GB"/>
        </w:rPr>
      </w:pPr>
    </w:p>
    <w:p w14:paraId="0000002A" w14:textId="77777777" w:rsidR="00667542" w:rsidRPr="004E0A4F" w:rsidRDefault="001C12ED">
      <w:pPr>
        <w:pStyle w:val="Heading2"/>
        <w:jc w:val="both"/>
        <w:rPr>
          <w:lang w:val="en-GB"/>
        </w:rPr>
      </w:pPr>
      <w:bookmarkStart w:id="6" w:name="_heading=h.3dy6vkm" w:colFirst="0" w:colLast="0"/>
      <w:bookmarkEnd w:id="6"/>
      <w:r w:rsidRPr="004E0A4F">
        <w:rPr>
          <w:lang w:val="en-GB"/>
        </w:rPr>
        <w:t xml:space="preserve">Literature on student capabilities </w:t>
      </w:r>
    </w:p>
    <w:p w14:paraId="0000002B" w14:textId="77777777" w:rsidR="00667542" w:rsidRPr="004E0A4F" w:rsidRDefault="001C12ED">
      <w:pPr>
        <w:spacing w:after="100"/>
        <w:jc w:val="both"/>
        <w:rPr>
          <w:rFonts w:ascii="Times New Roman" w:eastAsia="Times New Roman" w:hAnsi="Times New Roman" w:cs="Times New Roman"/>
          <w:sz w:val="24"/>
          <w:szCs w:val="24"/>
          <w:highlight w:val="white"/>
          <w:lang w:val="en-GB"/>
        </w:rPr>
      </w:pPr>
      <w:r w:rsidRPr="004E0A4F">
        <w:rPr>
          <w:rFonts w:ascii="Times New Roman" w:eastAsia="Times New Roman" w:hAnsi="Times New Roman" w:cs="Times New Roman"/>
          <w:sz w:val="24"/>
          <w:szCs w:val="24"/>
          <w:highlight w:val="white"/>
          <w:lang w:val="en-GB"/>
        </w:rPr>
        <w:t>A separate strand of research in educational psychology has explored different capabilities shown as relevant for student experiences and outcomes in higher education.</w:t>
      </w:r>
    </w:p>
    <w:p w14:paraId="0000002C" w14:textId="359A8D7E" w:rsidR="00667542" w:rsidRPr="004E0A4F" w:rsidRDefault="001C12ED">
      <w:pPr>
        <w:jc w:val="both"/>
        <w:rPr>
          <w:rFonts w:ascii="Times New Roman" w:eastAsia="Times New Roman" w:hAnsi="Times New Roman" w:cs="Times New Roman"/>
          <w:sz w:val="24"/>
          <w:szCs w:val="24"/>
          <w:highlight w:val="white"/>
          <w:lang w:val="en-GB"/>
        </w:rPr>
      </w:pPr>
      <w:r w:rsidRPr="004E0A4F">
        <w:rPr>
          <w:rFonts w:ascii="Times New Roman" w:eastAsia="Times New Roman" w:hAnsi="Times New Roman" w:cs="Times New Roman"/>
          <w:sz w:val="24"/>
          <w:szCs w:val="24"/>
          <w:highlight w:val="white"/>
          <w:lang w:val="en-GB"/>
        </w:rPr>
        <w:t xml:space="preserve">Bandura (1986, 1997, 2001, 2005) places personal self-efficacy beliefs as a necessary condition of human agency and defines it as individuals’ belief in their capacity to execute </w:t>
      </w:r>
      <w:r w:rsidR="004E0A4F" w:rsidRPr="004E0A4F">
        <w:rPr>
          <w:rFonts w:ascii="Times New Roman" w:eastAsia="Times New Roman" w:hAnsi="Times New Roman" w:cs="Times New Roman"/>
          <w:sz w:val="24"/>
          <w:szCs w:val="24"/>
          <w:highlight w:val="white"/>
          <w:lang w:val="en-GB"/>
        </w:rPr>
        <w:t>behaviours</w:t>
      </w:r>
      <w:r w:rsidRPr="004E0A4F">
        <w:rPr>
          <w:rFonts w:ascii="Times New Roman" w:eastAsia="Times New Roman" w:hAnsi="Times New Roman" w:cs="Times New Roman"/>
          <w:sz w:val="24"/>
          <w:szCs w:val="24"/>
          <w:highlight w:val="white"/>
          <w:lang w:val="en-GB"/>
        </w:rPr>
        <w:t xml:space="preserve"> necessary to produce desired results. According to Bandura (2005, p. 3), ‘[t]</w:t>
      </w:r>
      <w:r w:rsidRPr="004E0A4F">
        <w:rPr>
          <w:rFonts w:ascii="Times New Roman" w:eastAsia="Times New Roman" w:hAnsi="Times New Roman" w:cs="Times New Roman"/>
          <w:sz w:val="24"/>
          <w:szCs w:val="24"/>
          <w:lang w:val="en-GB"/>
        </w:rPr>
        <w:t xml:space="preserve">his core belief is the foundation of human motivation, well-being, and accomplishments. Unless people believe they can produce desired effects by their actions, they have little incentive to act or to persevere in the face of difficulties’. </w:t>
      </w:r>
      <w:r w:rsidRPr="004E0A4F">
        <w:rPr>
          <w:rFonts w:ascii="Times New Roman" w:eastAsia="Times New Roman" w:hAnsi="Times New Roman" w:cs="Times New Roman"/>
          <w:sz w:val="24"/>
          <w:szCs w:val="24"/>
          <w:highlight w:val="white"/>
          <w:lang w:val="en-GB"/>
        </w:rPr>
        <w:t xml:space="preserve">Bandura (2005, p. 3) also suggests that human agency is demonstrated through intentionality (forming intentions with action plans and strategies), forethought (setting goals and anticipating likely outcomes of actions), self-regulation (reflection, monitoring and regulating strategies) and self-awareness (self-examining of own functioning and to understand own values </w:t>
      </w:r>
      <w:r w:rsidRPr="004E0A4F">
        <w:rPr>
          <w:rFonts w:ascii="Times New Roman" w:eastAsia="Times New Roman" w:hAnsi="Times New Roman" w:cs="Times New Roman"/>
          <w:sz w:val="24"/>
          <w:szCs w:val="24"/>
          <w:highlight w:val="white"/>
          <w:lang w:val="en-GB"/>
        </w:rPr>
        <w:lastRenderedPageBreak/>
        <w:t>and beliefs). These capabilities figure in several other models of capabilities that enhance student learning and other student outcomes in higher education.</w:t>
      </w:r>
    </w:p>
    <w:p w14:paraId="0000002D" w14:textId="77777777" w:rsidR="00667542" w:rsidRPr="004E0A4F" w:rsidRDefault="00667542">
      <w:pPr>
        <w:jc w:val="both"/>
        <w:rPr>
          <w:rFonts w:ascii="Times New Roman" w:eastAsia="Times New Roman" w:hAnsi="Times New Roman" w:cs="Times New Roman"/>
          <w:sz w:val="24"/>
          <w:szCs w:val="24"/>
          <w:highlight w:val="white"/>
          <w:lang w:val="en-GB"/>
        </w:rPr>
      </w:pPr>
    </w:p>
    <w:p w14:paraId="0000002E" w14:textId="41DF6A2B" w:rsidR="00667542" w:rsidRPr="004E0A4F" w:rsidRDefault="001C12ED">
      <w:pPr>
        <w:jc w:val="both"/>
        <w:rPr>
          <w:rFonts w:ascii="Times New Roman" w:eastAsia="Times New Roman" w:hAnsi="Times New Roman" w:cs="Times New Roman"/>
          <w:sz w:val="24"/>
          <w:szCs w:val="24"/>
          <w:lang w:val="en-GB"/>
        </w:rPr>
      </w:pPr>
      <w:r w:rsidRPr="004E0A4F">
        <w:rPr>
          <w:rFonts w:ascii="Times New Roman" w:eastAsia="Times New Roman" w:hAnsi="Times New Roman" w:cs="Times New Roman"/>
          <w:sz w:val="24"/>
          <w:szCs w:val="24"/>
          <w:highlight w:val="white"/>
          <w:lang w:val="en-GB"/>
        </w:rPr>
        <w:t xml:space="preserve">One notable such model is the self-regulated learning model (Zimmermann 2002). Self-regulated learning refers to processes such as goal setting, metacognition, and self-assessment, all of which are considered beneficial for student learning. The model emphasizes metacognitive skills which are necessary for students to take greater responsibility for their own learning and adopt their strategies for achieving learning goals (Zimmerman 2002). This model has been implemented in practice through “Personal Development Planning'' which prompts students to reflect on their own learning, performance and achievements, plan all-round personal, educational and career goals and record their own achievements (Clegg and Bradley 2006). </w:t>
      </w:r>
      <w:r w:rsidRPr="004E0A4F">
        <w:rPr>
          <w:rFonts w:ascii="Times New Roman" w:eastAsia="Times New Roman" w:hAnsi="Times New Roman" w:cs="Times New Roman"/>
          <w:sz w:val="24"/>
          <w:szCs w:val="24"/>
          <w:lang w:val="en-GB"/>
        </w:rPr>
        <w:t>Related concept to self-regulated learning is self-directed learning. Self-directed learning describes a process ‘...</w:t>
      </w:r>
      <w:r w:rsidRPr="004E0A4F">
        <w:rPr>
          <w:rFonts w:ascii="Times New Roman" w:eastAsia="Times New Roman" w:hAnsi="Times New Roman" w:cs="Times New Roman"/>
          <w:sz w:val="24"/>
          <w:szCs w:val="24"/>
          <w:highlight w:val="white"/>
          <w:lang w:val="en-GB"/>
        </w:rPr>
        <w:t xml:space="preserve">in which individuals take the initiative, with or without the help of others, in diagnosing their learning needs, formulating learning goals, identifying human and material resources for learning, </w:t>
      </w:r>
      <w:r w:rsidR="0096048A" w:rsidRPr="004E0A4F">
        <w:rPr>
          <w:rFonts w:ascii="Times New Roman" w:eastAsia="Times New Roman" w:hAnsi="Times New Roman" w:cs="Times New Roman"/>
          <w:sz w:val="24"/>
          <w:szCs w:val="24"/>
          <w:highlight w:val="white"/>
          <w:lang w:val="en-GB"/>
        </w:rPr>
        <w:t>choosing,</w:t>
      </w:r>
      <w:r w:rsidRPr="004E0A4F">
        <w:rPr>
          <w:rFonts w:ascii="Times New Roman" w:eastAsia="Times New Roman" w:hAnsi="Times New Roman" w:cs="Times New Roman"/>
          <w:sz w:val="24"/>
          <w:szCs w:val="24"/>
          <w:highlight w:val="white"/>
          <w:lang w:val="en-GB"/>
        </w:rPr>
        <w:t xml:space="preserve"> and implementing appropriate learning strategies, and evaluating learning outcomes’ (Knowles 1975, 8). </w:t>
      </w:r>
    </w:p>
    <w:p w14:paraId="0000002F" w14:textId="77777777" w:rsidR="00667542" w:rsidRPr="004E0A4F" w:rsidRDefault="00667542">
      <w:pPr>
        <w:jc w:val="both"/>
        <w:rPr>
          <w:rFonts w:ascii="Times New Roman" w:eastAsia="Times New Roman" w:hAnsi="Times New Roman" w:cs="Times New Roman"/>
          <w:sz w:val="24"/>
          <w:szCs w:val="24"/>
          <w:lang w:val="en-GB"/>
        </w:rPr>
      </w:pPr>
    </w:p>
    <w:p w14:paraId="00000030" w14:textId="0F0A1AC5" w:rsidR="00667542" w:rsidRDefault="001C12ED">
      <w:pPr>
        <w:jc w:val="both"/>
        <w:rPr>
          <w:rFonts w:ascii="Times New Roman" w:eastAsia="Times New Roman" w:hAnsi="Times New Roman" w:cs="Times New Roman"/>
          <w:sz w:val="24"/>
          <w:szCs w:val="24"/>
          <w:highlight w:val="white"/>
          <w:lang w:val="en-GB"/>
        </w:rPr>
      </w:pPr>
      <w:r w:rsidRPr="004E0A4F">
        <w:rPr>
          <w:rFonts w:ascii="Times New Roman" w:eastAsia="Times New Roman" w:hAnsi="Times New Roman" w:cs="Times New Roman"/>
          <w:sz w:val="24"/>
          <w:szCs w:val="24"/>
          <w:lang w:val="en-GB"/>
        </w:rPr>
        <w:t xml:space="preserve">Another influential model relevant for understanding student agency is self-authorship. Baxter </w:t>
      </w:r>
      <w:proofErr w:type="spellStart"/>
      <w:r w:rsidRPr="004E0A4F">
        <w:rPr>
          <w:rFonts w:ascii="Times New Roman" w:eastAsia="Times New Roman" w:hAnsi="Times New Roman" w:cs="Times New Roman"/>
          <w:sz w:val="24"/>
          <w:szCs w:val="24"/>
          <w:lang w:val="en-GB"/>
        </w:rPr>
        <w:t>Magolda</w:t>
      </w:r>
      <w:proofErr w:type="spellEnd"/>
      <w:r w:rsidRPr="004E0A4F">
        <w:rPr>
          <w:rFonts w:ascii="Times New Roman" w:eastAsia="Times New Roman" w:hAnsi="Times New Roman" w:cs="Times New Roman"/>
          <w:sz w:val="24"/>
          <w:szCs w:val="24"/>
          <w:lang w:val="en-GB"/>
        </w:rPr>
        <w:t xml:space="preserve"> (2001, 269) defines self-authorship as ‘the internal capacity to define one's beliefs, identity and social </w:t>
      </w:r>
      <w:proofErr w:type="gramStart"/>
      <w:r w:rsidRPr="004E0A4F">
        <w:rPr>
          <w:rFonts w:ascii="Times New Roman" w:eastAsia="Times New Roman" w:hAnsi="Times New Roman" w:cs="Times New Roman"/>
          <w:sz w:val="24"/>
          <w:szCs w:val="24"/>
          <w:lang w:val="en-GB"/>
        </w:rPr>
        <w:t>relations’</w:t>
      </w:r>
      <w:proofErr w:type="gramEnd"/>
      <w:r w:rsidRPr="004E0A4F">
        <w:rPr>
          <w:rFonts w:ascii="Times New Roman" w:eastAsia="Times New Roman" w:hAnsi="Times New Roman" w:cs="Times New Roman"/>
          <w:sz w:val="24"/>
          <w:szCs w:val="24"/>
          <w:lang w:val="en-GB"/>
        </w:rPr>
        <w:t xml:space="preserve">. This development of the internal belief system is a foundation for developing identities and relations with others, which in turn are a developmental foundation for advanced learning outcomes (Baxter </w:t>
      </w:r>
      <w:proofErr w:type="spellStart"/>
      <w:r w:rsidRPr="004E0A4F">
        <w:rPr>
          <w:rFonts w:ascii="Times New Roman" w:eastAsia="Times New Roman" w:hAnsi="Times New Roman" w:cs="Times New Roman"/>
          <w:sz w:val="24"/>
          <w:szCs w:val="24"/>
          <w:lang w:val="en-GB"/>
        </w:rPr>
        <w:t>Magolda</w:t>
      </w:r>
      <w:proofErr w:type="spellEnd"/>
      <w:r w:rsidRPr="004E0A4F">
        <w:rPr>
          <w:rFonts w:ascii="Times New Roman" w:eastAsia="Times New Roman" w:hAnsi="Times New Roman" w:cs="Times New Roman"/>
          <w:sz w:val="24"/>
          <w:szCs w:val="24"/>
          <w:lang w:val="en-GB"/>
        </w:rPr>
        <w:t xml:space="preserve"> 2007, 69). </w:t>
      </w:r>
      <w:r w:rsidR="00253241" w:rsidRPr="004E0A4F">
        <w:rPr>
          <w:rFonts w:ascii="Times New Roman" w:eastAsia="Times New Roman" w:hAnsi="Times New Roman" w:cs="Times New Roman"/>
          <w:sz w:val="24"/>
          <w:szCs w:val="24"/>
          <w:lang w:val="en-GB"/>
        </w:rPr>
        <w:t>Furthermore, the</w:t>
      </w:r>
      <w:r w:rsidRPr="004E0A4F">
        <w:rPr>
          <w:rFonts w:ascii="Times New Roman" w:eastAsia="Times New Roman" w:hAnsi="Times New Roman" w:cs="Times New Roman"/>
          <w:sz w:val="24"/>
          <w:szCs w:val="24"/>
          <w:lang w:val="en-GB"/>
        </w:rPr>
        <w:t xml:space="preserve"> self-determination theory represents a broad framework for the study of human motivation and personality. The basic premise of this theory is </w:t>
      </w:r>
      <w:r w:rsidRPr="004E0A4F">
        <w:rPr>
          <w:rFonts w:ascii="Times New Roman" w:eastAsia="Times New Roman" w:hAnsi="Times New Roman" w:cs="Times New Roman"/>
          <w:sz w:val="24"/>
          <w:szCs w:val="24"/>
          <w:highlight w:val="white"/>
          <w:lang w:val="en-GB"/>
        </w:rPr>
        <w:t>that ‘people have basic psychological needs to experience competence, autonomy, and relatedness to others’ (Ryan et al 2021, 4). When these needs are fulfilled</w:t>
      </w:r>
      <w:r w:rsidR="00253241" w:rsidRPr="004E0A4F">
        <w:rPr>
          <w:rFonts w:ascii="Times New Roman" w:eastAsia="Times New Roman" w:hAnsi="Times New Roman" w:cs="Times New Roman"/>
          <w:sz w:val="24"/>
          <w:szCs w:val="24"/>
          <w:highlight w:val="white"/>
          <w:lang w:val="en-GB"/>
        </w:rPr>
        <w:t>,</w:t>
      </w:r>
      <w:r w:rsidRPr="004E0A4F">
        <w:rPr>
          <w:rFonts w:ascii="Times New Roman" w:eastAsia="Times New Roman" w:hAnsi="Times New Roman" w:cs="Times New Roman"/>
          <w:sz w:val="24"/>
          <w:szCs w:val="24"/>
          <w:highlight w:val="white"/>
          <w:lang w:val="en-GB"/>
        </w:rPr>
        <w:t xml:space="preserve"> people </w:t>
      </w:r>
      <w:proofErr w:type="gramStart"/>
      <w:r w:rsidRPr="004E0A4F">
        <w:rPr>
          <w:rFonts w:ascii="Times New Roman" w:eastAsia="Times New Roman" w:hAnsi="Times New Roman" w:cs="Times New Roman"/>
          <w:sz w:val="24"/>
          <w:szCs w:val="24"/>
          <w:highlight w:val="white"/>
          <w:lang w:val="en-GB"/>
        </w:rPr>
        <w:t>are able to</w:t>
      </w:r>
      <w:proofErr w:type="gramEnd"/>
      <w:r w:rsidRPr="004E0A4F">
        <w:rPr>
          <w:rFonts w:ascii="Times New Roman" w:eastAsia="Times New Roman" w:hAnsi="Times New Roman" w:cs="Times New Roman"/>
          <w:sz w:val="24"/>
          <w:szCs w:val="24"/>
          <w:highlight w:val="white"/>
          <w:lang w:val="en-GB"/>
        </w:rPr>
        <w:t xml:space="preserve"> self-determine, that is to organize their experiences and regulate motivation for action (Ryan et al 2021; Deci and Ryan 2017). </w:t>
      </w:r>
    </w:p>
    <w:p w14:paraId="46E077D6" w14:textId="77777777" w:rsidR="005B73ED" w:rsidRPr="004E0A4F" w:rsidRDefault="005B73ED">
      <w:pPr>
        <w:jc w:val="both"/>
        <w:rPr>
          <w:rFonts w:ascii="Times New Roman" w:eastAsia="Times New Roman" w:hAnsi="Times New Roman" w:cs="Times New Roman"/>
          <w:sz w:val="24"/>
          <w:szCs w:val="24"/>
          <w:highlight w:val="white"/>
          <w:lang w:val="en-GB"/>
        </w:rPr>
      </w:pPr>
    </w:p>
    <w:p w14:paraId="00000031" w14:textId="334C1769" w:rsidR="00667542" w:rsidRPr="004E0A4F" w:rsidRDefault="001C12ED">
      <w:pPr>
        <w:jc w:val="both"/>
        <w:rPr>
          <w:rFonts w:ascii="Times New Roman" w:eastAsia="Times New Roman" w:hAnsi="Times New Roman" w:cs="Times New Roman"/>
          <w:sz w:val="24"/>
          <w:szCs w:val="24"/>
          <w:lang w:val="en-GB"/>
        </w:rPr>
      </w:pPr>
      <w:r w:rsidRPr="004E0A4F">
        <w:rPr>
          <w:rFonts w:ascii="Times New Roman" w:eastAsia="Times New Roman" w:hAnsi="Times New Roman" w:cs="Times New Roman"/>
          <w:sz w:val="24"/>
          <w:szCs w:val="24"/>
          <w:highlight w:val="white"/>
          <w:lang w:val="en-GB"/>
        </w:rPr>
        <w:t xml:space="preserve">In recent years, the concept of grit has been introduced to highlight the importance of non-cognitive factors for personal achievement (Duckworth et al. 2007). The development of this concept was motivated by the observations - common also to other models - that </w:t>
      </w:r>
      <w:r w:rsidRPr="004E0A4F">
        <w:rPr>
          <w:rFonts w:ascii="Times New Roman" w:eastAsia="Times New Roman" w:hAnsi="Times New Roman" w:cs="Times New Roman"/>
          <w:sz w:val="24"/>
          <w:szCs w:val="24"/>
          <w:lang w:val="en-GB"/>
        </w:rPr>
        <w:t xml:space="preserve">in many cases </w:t>
      </w:r>
      <w:r w:rsidRPr="004E0A4F">
        <w:rPr>
          <w:rFonts w:ascii="Times New Roman" w:eastAsia="Times New Roman" w:hAnsi="Times New Roman" w:cs="Times New Roman"/>
          <w:sz w:val="24"/>
          <w:szCs w:val="24"/>
          <w:highlight w:val="white"/>
          <w:lang w:val="en-GB"/>
        </w:rPr>
        <w:t>individuals of an equal or lesser IQ were outperforming more intelligent individuals, including in education contexts (Duckworth et al. 2007).</w:t>
      </w:r>
      <w:r w:rsidRPr="004E0A4F">
        <w:rPr>
          <w:rFonts w:ascii="Times New Roman" w:eastAsia="Times New Roman" w:hAnsi="Times New Roman" w:cs="Times New Roman"/>
          <w:sz w:val="24"/>
          <w:szCs w:val="24"/>
          <w:lang w:val="en-GB"/>
        </w:rPr>
        <w:t xml:space="preserve"> </w:t>
      </w:r>
      <w:r w:rsidRPr="004E0A4F">
        <w:rPr>
          <w:rFonts w:ascii="Times New Roman" w:eastAsia="Times New Roman" w:hAnsi="Times New Roman" w:cs="Times New Roman"/>
          <w:sz w:val="24"/>
          <w:szCs w:val="24"/>
          <w:highlight w:val="white"/>
          <w:lang w:val="en-GB"/>
        </w:rPr>
        <w:t>Duckworth et al (2007, 1087) define grit as passion and perseverance, i.e., intensity, direction, and duration of one’s exertions towards long-term goals. The students’ traits and characteristics that define grit, mental wellbeing</w:t>
      </w:r>
      <w:r w:rsidR="00757AED">
        <w:rPr>
          <w:rFonts w:ascii="Times New Roman" w:eastAsia="Times New Roman" w:hAnsi="Times New Roman" w:cs="Times New Roman"/>
          <w:sz w:val="24"/>
          <w:szCs w:val="24"/>
          <w:highlight w:val="white"/>
          <w:lang w:val="en-GB"/>
        </w:rPr>
        <w:t>,</w:t>
      </w:r>
      <w:r w:rsidRPr="004E0A4F">
        <w:rPr>
          <w:rFonts w:ascii="Times New Roman" w:eastAsia="Times New Roman" w:hAnsi="Times New Roman" w:cs="Times New Roman"/>
          <w:sz w:val="24"/>
          <w:szCs w:val="24"/>
          <w:highlight w:val="white"/>
          <w:lang w:val="en-GB"/>
        </w:rPr>
        <w:t xml:space="preserve"> and resilience figure also in several higher education studies of capabilities associated with student success and academic performance.  </w:t>
      </w:r>
    </w:p>
    <w:p w14:paraId="00000032" w14:textId="77777777" w:rsidR="00667542" w:rsidRPr="004E0A4F" w:rsidRDefault="00667542">
      <w:pPr>
        <w:shd w:val="clear" w:color="auto" w:fill="FFFFFF"/>
        <w:jc w:val="both"/>
        <w:rPr>
          <w:rFonts w:ascii="Times New Roman" w:eastAsia="Times New Roman" w:hAnsi="Times New Roman" w:cs="Times New Roman"/>
          <w:sz w:val="24"/>
          <w:szCs w:val="24"/>
          <w:highlight w:val="white"/>
          <w:lang w:val="en-GB"/>
        </w:rPr>
      </w:pPr>
    </w:p>
    <w:p w14:paraId="00000033" w14:textId="57970E0F" w:rsidR="00667542" w:rsidRPr="004E0A4F" w:rsidRDefault="001C12ED">
      <w:pPr>
        <w:spacing w:after="100"/>
        <w:jc w:val="both"/>
        <w:rPr>
          <w:rFonts w:ascii="Times New Roman" w:eastAsia="Times New Roman" w:hAnsi="Times New Roman" w:cs="Times New Roman"/>
          <w:sz w:val="24"/>
          <w:szCs w:val="24"/>
          <w:lang w:val="en-GB"/>
        </w:rPr>
      </w:pPr>
      <w:r w:rsidRPr="004E0A4F">
        <w:rPr>
          <w:rFonts w:ascii="Times New Roman" w:eastAsia="Times New Roman" w:hAnsi="Times New Roman" w:cs="Times New Roman"/>
          <w:sz w:val="24"/>
          <w:szCs w:val="24"/>
          <w:highlight w:val="white"/>
          <w:lang w:val="en-GB"/>
        </w:rPr>
        <w:t xml:space="preserve">What these models have in common is to suggest that cognitive abilities alone are not a good predictor of student academic achievement. Other non-cognitive factors that empower students to </w:t>
      </w:r>
      <w:r w:rsidRPr="004E0A4F">
        <w:rPr>
          <w:rFonts w:ascii="Times New Roman" w:eastAsia="Times New Roman" w:hAnsi="Times New Roman" w:cs="Times New Roman"/>
          <w:sz w:val="24"/>
          <w:szCs w:val="24"/>
          <w:highlight w:val="white"/>
          <w:lang w:val="en-GB"/>
        </w:rPr>
        <w:lastRenderedPageBreak/>
        <w:t xml:space="preserve">take control over their learning and education have been shown to play a significant role in students’ achievement. </w:t>
      </w:r>
      <w:r w:rsidRPr="004E0A4F">
        <w:rPr>
          <w:rFonts w:ascii="Times New Roman" w:eastAsia="Times New Roman" w:hAnsi="Times New Roman" w:cs="Times New Roman"/>
          <w:sz w:val="24"/>
          <w:szCs w:val="24"/>
          <w:lang w:val="en-GB"/>
        </w:rPr>
        <w:t>This happens, as Bandura (2005, p. 3) suggests, through intentionality, forethought, self-regulation, self-awareness</w:t>
      </w:r>
      <w:r w:rsidR="00757AED">
        <w:rPr>
          <w:rFonts w:ascii="Times New Roman" w:eastAsia="Times New Roman" w:hAnsi="Times New Roman" w:cs="Times New Roman"/>
          <w:sz w:val="24"/>
          <w:szCs w:val="24"/>
          <w:lang w:val="en-GB"/>
        </w:rPr>
        <w:t>,</w:t>
      </w:r>
      <w:r w:rsidRPr="004E0A4F">
        <w:rPr>
          <w:rFonts w:ascii="Times New Roman" w:eastAsia="Times New Roman" w:hAnsi="Times New Roman" w:cs="Times New Roman"/>
          <w:sz w:val="24"/>
          <w:szCs w:val="24"/>
          <w:lang w:val="en-GB"/>
        </w:rPr>
        <w:t xml:space="preserve"> and sense of self-efficacy. I refer to these “non-cognitive factors” as students’ capabilities to navigate and influence their learning and education pathways and environments. </w:t>
      </w:r>
      <w:r w:rsidRPr="004E0A4F">
        <w:rPr>
          <w:rFonts w:ascii="Times New Roman" w:eastAsia="Times New Roman" w:hAnsi="Times New Roman" w:cs="Times New Roman"/>
          <w:sz w:val="24"/>
          <w:szCs w:val="24"/>
          <w:highlight w:val="white"/>
          <w:lang w:val="en-GB"/>
        </w:rPr>
        <w:t>This chapter proposes that these capabilities are distinct, but related, features of student agency.</w:t>
      </w:r>
      <w:r w:rsidRPr="004E0A4F">
        <w:rPr>
          <w:rFonts w:ascii="Times New Roman" w:eastAsia="Times New Roman" w:hAnsi="Times New Roman" w:cs="Times New Roman"/>
          <w:sz w:val="24"/>
          <w:szCs w:val="24"/>
          <w:lang w:val="en-GB"/>
        </w:rPr>
        <w:t xml:space="preserve"> </w:t>
      </w:r>
      <w:r w:rsidR="007E7953" w:rsidRPr="004E0A4F">
        <w:rPr>
          <w:rFonts w:ascii="Times New Roman" w:eastAsia="Times New Roman" w:hAnsi="Times New Roman" w:cs="Times New Roman"/>
          <w:sz w:val="24"/>
          <w:szCs w:val="24"/>
          <w:lang w:val="en-GB"/>
        </w:rPr>
        <w:t xml:space="preserve">These valuable capabilities include </w:t>
      </w:r>
      <w:r w:rsidR="007E7953" w:rsidRPr="004E0A4F">
        <w:rPr>
          <w:rFonts w:ascii="Times New Roman" w:eastAsia="Times New Roman" w:hAnsi="Times New Roman" w:cs="Times New Roman"/>
          <w:sz w:val="24"/>
          <w:szCs w:val="24"/>
          <w:highlight w:val="white"/>
          <w:lang w:val="en-GB"/>
        </w:rPr>
        <w:t xml:space="preserve">intentionality, forethought and self-direction, self-regulation and reflexivity, self-awareness and self-authorship, self-efficacy and self-determination, and mental wellbeing. </w:t>
      </w:r>
      <w:r w:rsidRPr="004E0A4F">
        <w:rPr>
          <w:rFonts w:ascii="Times New Roman" w:eastAsia="Times New Roman" w:hAnsi="Times New Roman" w:cs="Times New Roman"/>
          <w:sz w:val="24"/>
          <w:szCs w:val="24"/>
          <w:highlight w:val="white"/>
          <w:lang w:val="en-GB"/>
        </w:rPr>
        <w:t>These capabilities affect the quality of interactions and engagements students have with various educationally purposeful activities, which in turn affect their experiences in higher education and their educational outcomes. Despite existing research and instruments to measure these different capabilities</w:t>
      </w:r>
      <w:r w:rsidRPr="004E0A4F">
        <w:rPr>
          <w:rFonts w:ascii="Times New Roman" w:eastAsia="Times New Roman" w:hAnsi="Times New Roman" w:cs="Times New Roman"/>
          <w:i/>
          <w:sz w:val="24"/>
          <w:szCs w:val="24"/>
          <w:highlight w:val="white"/>
          <w:lang w:val="en-GB"/>
        </w:rPr>
        <w:t xml:space="preserve">, </w:t>
      </w:r>
      <w:r w:rsidRPr="004E0A4F">
        <w:rPr>
          <w:rFonts w:ascii="Times New Roman" w:eastAsia="Times New Roman" w:hAnsi="Times New Roman" w:cs="Times New Roman"/>
          <w:sz w:val="24"/>
          <w:szCs w:val="24"/>
          <w:highlight w:val="white"/>
          <w:lang w:val="en-GB"/>
        </w:rPr>
        <w:t xml:space="preserve">there exists no comprehensive theoretical framework that would connect these different capabilities of student agency with student engagement and ultimately student experiences, pathways, and outcomes in higher education. </w:t>
      </w:r>
      <w:r w:rsidRPr="004E0A4F">
        <w:rPr>
          <w:rFonts w:ascii="Times New Roman" w:eastAsia="Times New Roman" w:hAnsi="Times New Roman" w:cs="Times New Roman"/>
          <w:sz w:val="24"/>
          <w:szCs w:val="24"/>
          <w:lang w:val="en-GB"/>
        </w:rPr>
        <w:t xml:space="preserve">This is what the theory of student agency aims to do. </w:t>
      </w:r>
    </w:p>
    <w:p w14:paraId="00000034" w14:textId="77777777" w:rsidR="00667542" w:rsidRPr="004E0A4F" w:rsidRDefault="001C12ED">
      <w:pPr>
        <w:pStyle w:val="Heading2"/>
        <w:jc w:val="both"/>
        <w:rPr>
          <w:rFonts w:ascii="Times New Roman" w:eastAsia="Times New Roman" w:hAnsi="Times New Roman" w:cs="Times New Roman"/>
          <w:sz w:val="24"/>
          <w:szCs w:val="24"/>
          <w:highlight w:val="white"/>
          <w:lang w:val="en-GB"/>
        </w:rPr>
      </w:pPr>
      <w:bookmarkStart w:id="7" w:name="_heading=h.1t3h5sf" w:colFirst="0" w:colLast="0"/>
      <w:bookmarkEnd w:id="7"/>
      <w:r w:rsidRPr="004E0A4F">
        <w:rPr>
          <w:lang w:val="en-GB"/>
        </w:rPr>
        <w:t>Literature on student agency</w:t>
      </w:r>
    </w:p>
    <w:p w14:paraId="00000035" w14:textId="77777777" w:rsidR="00667542" w:rsidRPr="004E0A4F" w:rsidRDefault="001C12ED">
      <w:pPr>
        <w:jc w:val="both"/>
        <w:rPr>
          <w:rFonts w:ascii="Times New Roman" w:eastAsia="Times New Roman" w:hAnsi="Times New Roman" w:cs="Times New Roman"/>
          <w:sz w:val="24"/>
          <w:szCs w:val="24"/>
          <w:lang w:val="en-GB"/>
        </w:rPr>
      </w:pPr>
      <w:r w:rsidRPr="004E0A4F">
        <w:rPr>
          <w:rFonts w:ascii="Times New Roman" w:eastAsia="Times New Roman" w:hAnsi="Times New Roman" w:cs="Times New Roman"/>
          <w:sz w:val="24"/>
          <w:szCs w:val="24"/>
          <w:highlight w:val="white"/>
          <w:lang w:val="en-GB"/>
        </w:rPr>
        <w:t>Scholars tend to agree that higher education research lacks a comprehensive theory of agency, and especially a well-developed theory of the interplay between structure and agency (Ashwin 2009;</w:t>
      </w:r>
      <w:r w:rsidRPr="004E0A4F">
        <w:rPr>
          <w:rFonts w:ascii="Times New Roman" w:eastAsia="Times New Roman" w:hAnsi="Times New Roman" w:cs="Times New Roman"/>
          <w:sz w:val="24"/>
          <w:szCs w:val="24"/>
          <w:lang w:val="en-GB"/>
        </w:rPr>
        <w:t xml:space="preserve"> </w:t>
      </w:r>
      <w:proofErr w:type="spellStart"/>
      <w:r w:rsidRPr="004E0A4F">
        <w:rPr>
          <w:rFonts w:ascii="Times New Roman" w:eastAsia="Times New Roman" w:hAnsi="Times New Roman" w:cs="Times New Roman"/>
          <w:sz w:val="24"/>
          <w:szCs w:val="24"/>
          <w:lang w:val="en-GB"/>
        </w:rPr>
        <w:t>Gumport</w:t>
      </w:r>
      <w:proofErr w:type="spellEnd"/>
      <w:r w:rsidRPr="004E0A4F">
        <w:rPr>
          <w:rFonts w:ascii="Times New Roman" w:eastAsia="Times New Roman" w:hAnsi="Times New Roman" w:cs="Times New Roman"/>
          <w:sz w:val="24"/>
          <w:szCs w:val="24"/>
          <w:lang w:val="en-GB"/>
        </w:rPr>
        <w:t xml:space="preserve"> 2012). Research on colleges and universities as organizations is mostly concerned with organizational structures determining human agency (</w:t>
      </w:r>
      <w:proofErr w:type="spellStart"/>
      <w:r w:rsidRPr="004E0A4F">
        <w:rPr>
          <w:rFonts w:ascii="Times New Roman" w:eastAsia="Times New Roman" w:hAnsi="Times New Roman" w:cs="Times New Roman"/>
          <w:sz w:val="24"/>
          <w:szCs w:val="24"/>
          <w:lang w:val="en-GB"/>
        </w:rPr>
        <w:t>Gumport</w:t>
      </w:r>
      <w:proofErr w:type="spellEnd"/>
      <w:r w:rsidRPr="004E0A4F">
        <w:rPr>
          <w:rFonts w:ascii="Times New Roman" w:eastAsia="Times New Roman" w:hAnsi="Times New Roman" w:cs="Times New Roman"/>
          <w:sz w:val="24"/>
          <w:szCs w:val="24"/>
          <w:lang w:val="en-GB"/>
        </w:rPr>
        <w:t xml:space="preserve"> 2012)</w:t>
      </w:r>
      <w:r w:rsidRPr="004E0A4F">
        <w:rPr>
          <w:rFonts w:ascii="Times New Roman" w:eastAsia="Times New Roman" w:hAnsi="Times New Roman" w:cs="Times New Roman"/>
          <w:sz w:val="24"/>
          <w:szCs w:val="24"/>
          <w:highlight w:val="white"/>
          <w:lang w:val="en-GB"/>
        </w:rPr>
        <w:t xml:space="preserve">. </w:t>
      </w:r>
      <w:r w:rsidRPr="004E0A4F">
        <w:rPr>
          <w:rFonts w:ascii="Times New Roman" w:eastAsia="Times New Roman" w:hAnsi="Times New Roman" w:cs="Times New Roman"/>
          <w:sz w:val="24"/>
          <w:szCs w:val="24"/>
          <w:lang w:val="en-GB"/>
        </w:rPr>
        <w:t xml:space="preserve">However, there is exciting new research on student agency emerging. </w:t>
      </w:r>
      <w:proofErr w:type="spellStart"/>
      <w:r w:rsidRPr="004E0A4F">
        <w:rPr>
          <w:rFonts w:ascii="Times New Roman" w:eastAsia="Times New Roman" w:hAnsi="Times New Roman" w:cs="Times New Roman"/>
          <w:sz w:val="24"/>
          <w:szCs w:val="24"/>
          <w:lang w:val="en-GB"/>
        </w:rPr>
        <w:t>Stenalt</w:t>
      </w:r>
      <w:proofErr w:type="spellEnd"/>
      <w:r w:rsidRPr="004E0A4F">
        <w:rPr>
          <w:rFonts w:ascii="Times New Roman" w:eastAsia="Times New Roman" w:hAnsi="Times New Roman" w:cs="Times New Roman"/>
          <w:sz w:val="24"/>
          <w:szCs w:val="24"/>
          <w:lang w:val="en-GB"/>
        </w:rPr>
        <w:t xml:space="preserve"> and </w:t>
      </w:r>
      <w:proofErr w:type="spellStart"/>
      <w:r w:rsidRPr="004E0A4F">
        <w:rPr>
          <w:rFonts w:ascii="Times New Roman" w:eastAsia="Times New Roman" w:hAnsi="Times New Roman" w:cs="Times New Roman"/>
          <w:sz w:val="24"/>
          <w:szCs w:val="24"/>
          <w:lang w:val="en-GB"/>
        </w:rPr>
        <w:t>Lassesen</w:t>
      </w:r>
      <w:proofErr w:type="spellEnd"/>
      <w:r w:rsidRPr="004E0A4F">
        <w:rPr>
          <w:rFonts w:ascii="Times New Roman" w:eastAsia="Times New Roman" w:hAnsi="Times New Roman" w:cs="Times New Roman"/>
          <w:sz w:val="24"/>
          <w:szCs w:val="24"/>
          <w:lang w:val="en-GB"/>
        </w:rPr>
        <w:t xml:space="preserve"> (2021) offer a timely systematic review of higher education research on student agency and its relations to students’ learning. Most of the research explores relations between student agency and individual student outcomes, but studies exploring the relationship between agency and societal outcomes are underdeveloped (ibid.). Much of this literature draws on the classical social science research on agency-structure and human action (Giddens 1984; Archer 1995, 2000, 2003; Bandura 1986, 2001; </w:t>
      </w:r>
      <w:proofErr w:type="spellStart"/>
      <w:r w:rsidRPr="004E0A4F">
        <w:rPr>
          <w:rFonts w:ascii="Times New Roman" w:eastAsia="Times New Roman" w:hAnsi="Times New Roman" w:cs="Times New Roman"/>
          <w:sz w:val="24"/>
          <w:szCs w:val="24"/>
          <w:lang w:val="en-GB"/>
        </w:rPr>
        <w:t>Emirbayer</w:t>
      </w:r>
      <w:proofErr w:type="spellEnd"/>
      <w:r w:rsidRPr="004E0A4F">
        <w:rPr>
          <w:rFonts w:ascii="Times New Roman" w:eastAsia="Times New Roman" w:hAnsi="Times New Roman" w:cs="Times New Roman"/>
          <w:sz w:val="24"/>
          <w:szCs w:val="24"/>
          <w:lang w:val="en-GB"/>
        </w:rPr>
        <w:t xml:space="preserve"> &amp; </w:t>
      </w:r>
      <w:proofErr w:type="spellStart"/>
      <w:r w:rsidRPr="004E0A4F">
        <w:rPr>
          <w:rFonts w:ascii="Times New Roman" w:eastAsia="Times New Roman" w:hAnsi="Times New Roman" w:cs="Times New Roman"/>
          <w:sz w:val="24"/>
          <w:szCs w:val="24"/>
          <w:lang w:val="en-GB"/>
        </w:rPr>
        <w:t>Mische</w:t>
      </w:r>
      <w:proofErr w:type="spellEnd"/>
      <w:r w:rsidRPr="004E0A4F">
        <w:rPr>
          <w:rFonts w:ascii="Times New Roman" w:eastAsia="Times New Roman" w:hAnsi="Times New Roman" w:cs="Times New Roman"/>
          <w:sz w:val="24"/>
          <w:szCs w:val="24"/>
          <w:lang w:val="en-GB"/>
        </w:rPr>
        <w:t xml:space="preserve"> 1998; Bourdieu 1998). Some student agency research has also been inspired by the “capabilities approach” introduced by Sen (1985, 1999) and further developed by Nussbaum (2011).</w:t>
      </w:r>
    </w:p>
    <w:p w14:paraId="00000036" w14:textId="77777777" w:rsidR="00667542" w:rsidRPr="004E0A4F" w:rsidRDefault="00667542">
      <w:pPr>
        <w:jc w:val="both"/>
        <w:rPr>
          <w:rFonts w:ascii="Times New Roman" w:eastAsia="Times New Roman" w:hAnsi="Times New Roman" w:cs="Times New Roman"/>
          <w:sz w:val="24"/>
          <w:szCs w:val="24"/>
          <w:lang w:val="en-GB"/>
        </w:rPr>
      </w:pPr>
    </w:p>
    <w:p w14:paraId="00000037" w14:textId="259646AB" w:rsidR="00667542" w:rsidRPr="004E0A4F" w:rsidRDefault="001C12ED">
      <w:pPr>
        <w:jc w:val="both"/>
        <w:rPr>
          <w:rFonts w:ascii="Times New Roman" w:eastAsia="Times New Roman" w:hAnsi="Times New Roman" w:cs="Times New Roman"/>
          <w:sz w:val="24"/>
          <w:szCs w:val="24"/>
          <w:highlight w:val="white"/>
          <w:lang w:val="en-GB"/>
        </w:rPr>
      </w:pPr>
      <w:r w:rsidRPr="004E0A4F">
        <w:rPr>
          <w:rFonts w:ascii="Times New Roman" w:eastAsia="Times New Roman" w:hAnsi="Times New Roman" w:cs="Times New Roman"/>
          <w:sz w:val="24"/>
          <w:szCs w:val="24"/>
          <w:lang w:val="en-GB"/>
        </w:rPr>
        <w:t>Notable research by educational researchers covers student agency as part of learning analytics research (</w:t>
      </w:r>
      <w:proofErr w:type="spellStart"/>
      <w:r w:rsidRPr="004E0A4F">
        <w:rPr>
          <w:rFonts w:ascii="Times New Roman" w:eastAsia="Times New Roman" w:hAnsi="Times New Roman" w:cs="Times New Roman"/>
          <w:sz w:val="24"/>
          <w:szCs w:val="24"/>
          <w:lang w:val="en-GB"/>
        </w:rPr>
        <w:t>Jääskelä</w:t>
      </w:r>
      <w:proofErr w:type="spellEnd"/>
      <w:r w:rsidRPr="004E0A4F">
        <w:rPr>
          <w:rFonts w:ascii="Times New Roman" w:eastAsia="Times New Roman" w:hAnsi="Times New Roman" w:cs="Times New Roman"/>
          <w:sz w:val="24"/>
          <w:szCs w:val="24"/>
          <w:lang w:val="en-GB"/>
        </w:rPr>
        <w:t xml:space="preserve"> et al 2020</w:t>
      </w:r>
      <w:proofErr w:type="gramStart"/>
      <w:r w:rsidRPr="004E0A4F">
        <w:rPr>
          <w:rFonts w:ascii="Times New Roman" w:eastAsia="Times New Roman" w:hAnsi="Times New Roman" w:cs="Times New Roman"/>
          <w:sz w:val="24"/>
          <w:szCs w:val="24"/>
          <w:lang w:val="en-GB"/>
        </w:rPr>
        <w:t>a,b</w:t>
      </w:r>
      <w:proofErr w:type="gramEnd"/>
      <w:r w:rsidRPr="004E0A4F">
        <w:rPr>
          <w:rFonts w:ascii="Times New Roman" w:eastAsia="Times New Roman" w:hAnsi="Times New Roman" w:cs="Times New Roman"/>
          <w:sz w:val="24"/>
          <w:szCs w:val="24"/>
          <w:lang w:val="en-GB"/>
        </w:rPr>
        <w:t xml:space="preserve">; </w:t>
      </w:r>
      <w:proofErr w:type="spellStart"/>
      <w:r w:rsidRPr="004E0A4F">
        <w:rPr>
          <w:rFonts w:ascii="Times New Roman" w:eastAsia="Times New Roman" w:hAnsi="Times New Roman" w:cs="Times New Roman"/>
          <w:sz w:val="24"/>
          <w:szCs w:val="24"/>
          <w:lang w:val="en-GB"/>
        </w:rPr>
        <w:t>Jääskelä</w:t>
      </w:r>
      <w:proofErr w:type="spellEnd"/>
      <w:r w:rsidRPr="004E0A4F">
        <w:rPr>
          <w:rFonts w:ascii="Times New Roman" w:eastAsia="Times New Roman" w:hAnsi="Times New Roman" w:cs="Times New Roman"/>
          <w:sz w:val="24"/>
          <w:szCs w:val="24"/>
          <w:lang w:val="en-GB"/>
        </w:rPr>
        <w:t xml:space="preserve"> et al 2017; Luo et al 2019; </w:t>
      </w:r>
      <w:proofErr w:type="spellStart"/>
      <w:r w:rsidRPr="004E0A4F">
        <w:rPr>
          <w:rFonts w:ascii="Times New Roman" w:eastAsia="Times New Roman" w:hAnsi="Times New Roman" w:cs="Times New Roman"/>
          <w:sz w:val="24"/>
          <w:szCs w:val="24"/>
          <w:lang w:val="en-GB"/>
        </w:rPr>
        <w:t>Liponen</w:t>
      </w:r>
      <w:proofErr w:type="spellEnd"/>
      <w:r w:rsidRPr="004E0A4F">
        <w:rPr>
          <w:rFonts w:ascii="Times New Roman" w:eastAsia="Times New Roman" w:hAnsi="Times New Roman" w:cs="Times New Roman"/>
          <w:sz w:val="24"/>
          <w:szCs w:val="24"/>
          <w:lang w:val="en-GB"/>
        </w:rPr>
        <w:t xml:space="preserve"> &amp; </w:t>
      </w:r>
      <w:proofErr w:type="spellStart"/>
      <w:r w:rsidRPr="004E0A4F">
        <w:rPr>
          <w:rFonts w:ascii="Times New Roman" w:eastAsia="Times New Roman" w:hAnsi="Times New Roman" w:cs="Times New Roman"/>
          <w:sz w:val="24"/>
          <w:szCs w:val="24"/>
          <w:lang w:val="en-GB"/>
        </w:rPr>
        <w:t>Kumpolainen</w:t>
      </w:r>
      <w:proofErr w:type="spellEnd"/>
      <w:r w:rsidRPr="004E0A4F">
        <w:rPr>
          <w:rFonts w:ascii="Times New Roman" w:eastAsia="Times New Roman" w:hAnsi="Times New Roman" w:cs="Times New Roman"/>
          <w:sz w:val="24"/>
          <w:szCs w:val="24"/>
          <w:lang w:val="en-GB"/>
        </w:rPr>
        <w:t xml:space="preserve"> 2011). </w:t>
      </w:r>
      <w:r w:rsidRPr="004E0A4F">
        <w:rPr>
          <w:rFonts w:ascii="Times New Roman" w:eastAsia="Times New Roman" w:hAnsi="Times New Roman" w:cs="Times New Roman"/>
          <w:sz w:val="24"/>
          <w:szCs w:val="24"/>
          <w:highlight w:val="white"/>
          <w:lang w:val="en-GB"/>
        </w:rPr>
        <w:t xml:space="preserve">At Finnish Institute for Educational Research at University of </w:t>
      </w:r>
      <w:proofErr w:type="spellStart"/>
      <w:r w:rsidRPr="004E0A4F">
        <w:rPr>
          <w:rFonts w:ascii="Times New Roman" w:eastAsia="Times New Roman" w:hAnsi="Times New Roman" w:cs="Times New Roman"/>
          <w:sz w:val="24"/>
          <w:szCs w:val="24"/>
          <w:highlight w:val="white"/>
          <w:lang w:val="en-GB"/>
        </w:rPr>
        <w:t>Jyväskylä</w:t>
      </w:r>
      <w:proofErr w:type="spellEnd"/>
      <w:r w:rsidRPr="004E0A4F">
        <w:rPr>
          <w:rFonts w:ascii="Times New Roman" w:eastAsia="Times New Roman" w:hAnsi="Times New Roman" w:cs="Times New Roman"/>
          <w:sz w:val="24"/>
          <w:szCs w:val="24"/>
          <w:highlight w:val="white"/>
          <w:lang w:val="en-GB"/>
        </w:rPr>
        <w:t>, researchers have developed the Agency of University Students (AUS) Scale as part of a learning analytics research agenda to offer ‘a novel methodological contributions by examining individual, relational and participatory resources of agency in the course context’ (</w:t>
      </w:r>
      <w:proofErr w:type="spellStart"/>
      <w:r w:rsidRPr="004E0A4F">
        <w:rPr>
          <w:rFonts w:ascii="Times New Roman" w:eastAsia="Times New Roman" w:hAnsi="Times New Roman" w:cs="Times New Roman"/>
          <w:sz w:val="24"/>
          <w:szCs w:val="24"/>
          <w:highlight w:val="white"/>
          <w:lang w:val="en-GB"/>
        </w:rPr>
        <w:t>Jääskelä</w:t>
      </w:r>
      <w:proofErr w:type="spellEnd"/>
      <w:r w:rsidRPr="004E0A4F">
        <w:rPr>
          <w:rFonts w:ascii="Times New Roman" w:eastAsia="Times New Roman" w:hAnsi="Times New Roman" w:cs="Times New Roman"/>
          <w:sz w:val="24"/>
          <w:szCs w:val="24"/>
          <w:highlight w:val="white"/>
          <w:lang w:val="en-GB"/>
        </w:rPr>
        <w:t xml:space="preserve"> et al 2020a: 2; </w:t>
      </w:r>
      <w:proofErr w:type="spellStart"/>
      <w:r w:rsidRPr="004E0A4F">
        <w:rPr>
          <w:rFonts w:ascii="Times New Roman" w:eastAsia="Times New Roman" w:hAnsi="Times New Roman" w:cs="Times New Roman"/>
          <w:sz w:val="24"/>
          <w:szCs w:val="24"/>
          <w:highlight w:val="white"/>
          <w:lang w:val="en-GB"/>
        </w:rPr>
        <w:t>Jääskelä</w:t>
      </w:r>
      <w:proofErr w:type="spellEnd"/>
      <w:r w:rsidRPr="004E0A4F">
        <w:rPr>
          <w:rFonts w:ascii="Times New Roman" w:eastAsia="Times New Roman" w:hAnsi="Times New Roman" w:cs="Times New Roman"/>
          <w:sz w:val="24"/>
          <w:szCs w:val="24"/>
          <w:highlight w:val="white"/>
          <w:lang w:val="en-GB"/>
        </w:rPr>
        <w:t xml:space="preserve"> et al 2016). </w:t>
      </w:r>
      <w:r w:rsidRPr="004E0A4F">
        <w:rPr>
          <w:rFonts w:ascii="Times New Roman" w:eastAsia="Times New Roman" w:hAnsi="Times New Roman" w:cs="Times New Roman"/>
          <w:sz w:val="24"/>
          <w:szCs w:val="24"/>
          <w:lang w:val="en-GB"/>
        </w:rPr>
        <w:t xml:space="preserve">Furthermore, educational researchers and sociologists explore student agency in the context of students’ transformative engagement with knowledge (Ashwin 2020; Ashwin et al 2014; Ashwin 2009; </w:t>
      </w:r>
      <w:proofErr w:type="spellStart"/>
      <w:r w:rsidRPr="004E0A4F">
        <w:rPr>
          <w:rFonts w:ascii="Times New Roman" w:eastAsia="Times New Roman" w:hAnsi="Times New Roman" w:cs="Times New Roman"/>
          <w:sz w:val="24"/>
          <w:szCs w:val="24"/>
          <w:lang w:val="en-GB"/>
        </w:rPr>
        <w:t>Klemenčič</w:t>
      </w:r>
      <w:proofErr w:type="spellEnd"/>
      <w:r w:rsidRPr="004E0A4F">
        <w:rPr>
          <w:rFonts w:ascii="Times New Roman" w:eastAsia="Times New Roman" w:hAnsi="Times New Roman" w:cs="Times New Roman"/>
          <w:sz w:val="24"/>
          <w:szCs w:val="24"/>
          <w:lang w:val="en-GB"/>
        </w:rPr>
        <w:t xml:space="preserve"> 2020). Inspired by Simon </w:t>
      </w:r>
      <w:proofErr w:type="spellStart"/>
      <w:r w:rsidRPr="004E0A4F">
        <w:rPr>
          <w:rFonts w:ascii="Times New Roman" w:eastAsia="Times New Roman" w:hAnsi="Times New Roman" w:cs="Times New Roman"/>
          <w:sz w:val="24"/>
          <w:szCs w:val="24"/>
          <w:lang w:val="en-GB"/>
        </w:rPr>
        <w:t>Marginson’s</w:t>
      </w:r>
      <w:proofErr w:type="spellEnd"/>
      <w:r w:rsidRPr="004E0A4F">
        <w:rPr>
          <w:rFonts w:ascii="Times New Roman" w:eastAsia="Times New Roman" w:hAnsi="Times New Roman" w:cs="Times New Roman"/>
          <w:sz w:val="24"/>
          <w:szCs w:val="24"/>
          <w:lang w:val="en-GB"/>
        </w:rPr>
        <w:t xml:space="preserve"> work (2014, 2018, forthcoming) and under his guidance, several researchers explore the concept of “higher education as self-</w:t>
      </w:r>
      <w:r w:rsidRPr="004E0A4F">
        <w:rPr>
          <w:rFonts w:ascii="Times New Roman" w:eastAsia="Times New Roman" w:hAnsi="Times New Roman" w:cs="Times New Roman"/>
          <w:sz w:val="24"/>
          <w:szCs w:val="24"/>
          <w:lang w:val="en-GB"/>
        </w:rPr>
        <w:lastRenderedPageBreak/>
        <w:t xml:space="preserve">formation”, including students' reflexive agency in academic self-formation </w:t>
      </w:r>
      <w:r w:rsidRPr="004E0A4F">
        <w:rPr>
          <w:rFonts w:ascii="Times New Roman" w:eastAsia="Times New Roman" w:hAnsi="Times New Roman" w:cs="Times New Roman"/>
          <w:sz w:val="24"/>
          <w:szCs w:val="24"/>
          <w:highlight w:val="white"/>
          <w:lang w:val="en-GB"/>
        </w:rPr>
        <w:t xml:space="preserve">(Lee 2021), and students’ employability agency (Pham 2021). </w:t>
      </w:r>
    </w:p>
    <w:p w14:paraId="00000038" w14:textId="77777777" w:rsidR="00667542" w:rsidRPr="004E0A4F" w:rsidRDefault="00667542">
      <w:pPr>
        <w:jc w:val="both"/>
        <w:rPr>
          <w:rFonts w:ascii="Times New Roman" w:eastAsia="Times New Roman" w:hAnsi="Times New Roman" w:cs="Times New Roman"/>
          <w:sz w:val="24"/>
          <w:szCs w:val="24"/>
          <w:highlight w:val="white"/>
          <w:lang w:val="en-GB"/>
        </w:rPr>
      </w:pPr>
    </w:p>
    <w:p w14:paraId="00000039" w14:textId="02C3029C" w:rsidR="00667542" w:rsidRPr="004E0A4F" w:rsidRDefault="001C12ED">
      <w:pPr>
        <w:jc w:val="both"/>
        <w:rPr>
          <w:rFonts w:ascii="Times New Roman" w:eastAsia="Times New Roman" w:hAnsi="Times New Roman" w:cs="Times New Roman"/>
          <w:sz w:val="24"/>
          <w:szCs w:val="24"/>
          <w:lang w:val="en-GB"/>
        </w:rPr>
      </w:pPr>
      <w:r w:rsidRPr="004E0A4F">
        <w:rPr>
          <w:rFonts w:ascii="Times New Roman" w:eastAsia="Times New Roman" w:hAnsi="Times New Roman" w:cs="Times New Roman"/>
          <w:sz w:val="24"/>
          <w:szCs w:val="24"/>
          <w:lang w:val="en-GB"/>
        </w:rPr>
        <w:t xml:space="preserve">Finally, there exists ample literature on student voice in higher education and students-as-partners education (Fielding 2001, 2004; Cook-Sather 2006; </w:t>
      </w:r>
      <w:proofErr w:type="spellStart"/>
      <w:r w:rsidRPr="004E0A4F">
        <w:rPr>
          <w:rFonts w:ascii="Times New Roman" w:eastAsia="Times New Roman" w:hAnsi="Times New Roman" w:cs="Times New Roman"/>
          <w:sz w:val="24"/>
          <w:szCs w:val="24"/>
          <w:lang w:val="en-GB"/>
        </w:rPr>
        <w:t>Bovill</w:t>
      </w:r>
      <w:proofErr w:type="spellEnd"/>
      <w:r w:rsidRPr="004E0A4F">
        <w:rPr>
          <w:rFonts w:ascii="Times New Roman" w:eastAsia="Times New Roman" w:hAnsi="Times New Roman" w:cs="Times New Roman"/>
          <w:sz w:val="24"/>
          <w:szCs w:val="24"/>
          <w:lang w:val="en-GB"/>
        </w:rPr>
        <w:t xml:space="preserve">, Cook-Sather &amp; </w:t>
      </w:r>
      <w:proofErr w:type="spellStart"/>
      <w:r w:rsidRPr="004E0A4F">
        <w:rPr>
          <w:rFonts w:ascii="Times New Roman" w:eastAsia="Times New Roman" w:hAnsi="Times New Roman" w:cs="Times New Roman"/>
          <w:sz w:val="24"/>
          <w:szCs w:val="24"/>
          <w:lang w:val="en-GB"/>
        </w:rPr>
        <w:t>Fellen</w:t>
      </w:r>
      <w:proofErr w:type="spellEnd"/>
      <w:r w:rsidRPr="004E0A4F">
        <w:rPr>
          <w:rFonts w:ascii="Times New Roman" w:eastAsia="Times New Roman" w:hAnsi="Times New Roman" w:cs="Times New Roman"/>
          <w:sz w:val="24"/>
          <w:szCs w:val="24"/>
          <w:lang w:val="en-GB"/>
        </w:rPr>
        <w:t xml:space="preserve"> 2011; Healey, Flint &amp; Harrington 2014; Cook-Sather &amp; Luz 2015; Cook-Sather et al. 2018; Matthews 2017; Matthews et al 2018; </w:t>
      </w:r>
      <w:proofErr w:type="spellStart"/>
      <w:r w:rsidRPr="004E0A4F">
        <w:rPr>
          <w:rFonts w:ascii="Times New Roman" w:eastAsia="Times New Roman" w:hAnsi="Times New Roman" w:cs="Times New Roman"/>
          <w:sz w:val="24"/>
          <w:szCs w:val="24"/>
          <w:lang w:val="en-GB"/>
        </w:rPr>
        <w:t>Klemenčič</w:t>
      </w:r>
      <w:proofErr w:type="spellEnd"/>
      <w:r w:rsidRPr="004E0A4F">
        <w:rPr>
          <w:rFonts w:ascii="Times New Roman" w:eastAsia="Times New Roman" w:hAnsi="Times New Roman" w:cs="Times New Roman"/>
          <w:sz w:val="24"/>
          <w:szCs w:val="24"/>
          <w:lang w:val="en-GB"/>
        </w:rPr>
        <w:t xml:space="preserve"> 2015a, 2018, 2020). This literature speaks to the enactment of student agency for purposes of changing the educational processes and structures. This scholarship affirms the propositions by agency theorists such as Archer (1995, 2000, 2003) and Giddens (1984) that not only structures have effects on agents, but that agents – students as agents also have effects on processes and structures within the higher education institutions. </w:t>
      </w:r>
    </w:p>
    <w:p w14:paraId="0000003A" w14:textId="77777777" w:rsidR="00667542" w:rsidRPr="004E0A4F" w:rsidRDefault="00667542">
      <w:pPr>
        <w:jc w:val="both"/>
        <w:rPr>
          <w:rFonts w:ascii="Times New Roman" w:eastAsia="Times New Roman" w:hAnsi="Times New Roman" w:cs="Times New Roman"/>
          <w:sz w:val="24"/>
          <w:szCs w:val="24"/>
          <w:lang w:val="en-GB"/>
        </w:rPr>
      </w:pPr>
    </w:p>
    <w:p w14:paraId="0000003B" w14:textId="77777777" w:rsidR="00667542" w:rsidRPr="004E0A4F" w:rsidRDefault="001C12ED">
      <w:pPr>
        <w:pStyle w:val="Heading1"/>
        <w:jc w:val="both"/>
        <w:rPr>
          <w:lang w:val="en-GB"/>
        </w:rPr>
      </w:pPr>
      <w:bookmarkStart w:id="8" w:name="_heading=h.4d34og8" w:colFirst="0" w:colLast="0"/>
      <w:bookmarkEnd w:id="8"/>
      <w:r w:rsidRPr="004E0A4F">
        <w:rPr>
          <w:rFonts w:ascii="Times New Roman" w:eastAsia="Times New Roman" w:hAnsi="Times New Roman" w:cs="Times New Roman"/>
          <w:b/>
          <w:sz w:val="24"/>
          <w:szCs w:val="24"/>
          <w:lang w:val="en-GB"/>
        </w:rPr>
        <w:t xml:space="preserve">A theory of student agency </w:t>
      </w:r>
    </w:p>
    <w:p w14:paraId="0000003C" w14:textId="11B1B982" w:rsidR="00667542" w:rsidRPr="004E0A4F" w:rsidRDefault="001C12ED">
      <w:pPr>
        <w:jc w:val="both"/>
        <w:rPr>
          <w:rFonts w:ascii="Times New Roman" w:eastAsia="Times New Roman" w:hAnsi="Times New Roman" w:cs="Times New Roman"/>
          <w:sz w:val="24"/>
          <w:szCs w:val="24"/>
          <w:lang w:val="en-GB"/>
        </w:rPr>
      </w:pPr>
      <w:r w:rsidRPr="004E0A4F">
        <w:rPr>
          <w:rFonts w:ascii="Times New Roman" w:eastAsia="Times New Roman" w:hAnsi="Times New Roman" w:cs="Times New Roman"/>
          <w:sz w:val="24"/>
          <w:szCs w:val="24"/>
          <w:lang w:val="en-GB"/>
        </w:rPr>
        <w:t xml:space="preserve">Student agency is central to our understanding of student experiences and student outcomes in higher education. This chapter proposes a comprehensive theory of student agency that accounts for time, space and place dynamics and explains student experiences, pathways, and outcomes through the lens of student agency. As such, this theory does not focus specifically on pedagogy (see </w:t>
      </w:r>
      <w:proofErr w:type="spellStart"/>
      <w:r w:rsidRPr="004E0A4F">
        <w:rPr>
          <w:rFonts w:ascii="Times New Roman" w:eastAsia="Times New Roman" w:hAnsi="Times New Roman" w:cs="Times New Roman"/>
          <w:sz w:val="24"/>
          <w:szCs w:val="24"/>
          <w:lang w:val="en-GB"/>
        </w:rPr>
        <w:t>Klemenčič</w:t>
      </w:r>
      <w:proofErr w:type="spellEnd"/>
      <w:r w:rsidRPr="004E0A4F">
        <w:rPr>
          <w:rFonts w:ascii="Times New Roman" w:eastAsia="Times New Roman" w:hAnsi="Times New Roman" w:cs="Times New Roman"/>
          <w:sz w:val="24"/>
          <w:szCs w:val="24"/>
          <w:lang w:val="en-GB"/>
        </w:rPr>
        <w:t xml:space="preserve"> 2020 for application of theory of student agency to student </w:t>
      </w:r>
      <w:r w:rsidR="00757AED" w:rsidRPr="004E0A4F">
        <w:rPr>
          <w:rFonts w:ascii="Times New Roman" w:eastAsia="Times New Roman" w:hAnsi="Times New Roman" w:cs="Times New Roman"/>
          <w:sz w:val="24"/>
          <w:szCs w:val="24"/>
          <w:lang w:val="en-GB"/>
        </w:rPr>
        <w:t>centred</w:t>
      </w:r>
      <w:r w:rsidRPr="004E0A4F">
        <w:rPr>
          <w:rFonts w:ascii="Times New Roman" w:eastAsia="Times New Roman" w:hAnsi="Times New Roman" w:cs="Times New Roman"/>
          <w:sz w:val="24"/>
          <w:szCs w:val="24"/>
          <w:lang w:val="en-GB"/>
        </w:rPr>
        <w:t xml:space="preserve"> learning and teaching) or extracurricular activities or student employment, as distinct domains of student action during studentship. Instead</w:t>
      </w:r>
      <w:r w:rsidR="007E7953" w:rsidRPr="004E0A4F">
        <w:rPr>
          <w:rFonts w:ascii="Times New Roman" w:eastAsia="Times New Roman" w:hAnsi="Times New Roman" w:cs="Times New Roman"/>
          <w:sz w:val="24"/>
          <w:szCs w:val="24"/>
          <w:lang w:val="en-GB"/>
        </w:rPr>
        <w:t>,</w:t>
      </w:r>
      <w:r w:rsidRPr="004E0A4F">
        <w:rPr>
          <w:rFonts w:ascii="Times New Roman" w:eastAsia="Times New Roman" w:hAnsi="Times New Roman" w:cs="Times New Roman"/>
          <w:sz w:val="24"/>
          <w:szCs w:val="24"/>
          <w:lang w:val="en-GB"/>
        </w:rPr>
        <w:t xml:space="preserve"> it seeks to develop a comprehensive theoretical framework that can be applied to any </w:t>
      </w:r>
      <w:r w:rsidR="007E7953" w:rsidRPr="004E0A4F">
        <w:rPr>
          <w:rFonts w:ascii="Times New Roman" w:eastAsia="Times New Roman" w:hAnsi="Times New Roman" w:cs="Times New Roman"/>
          <w:sz w:val="24"/>
          <w:szCs w:val="24"/>
          <w:lang w:val="en-GB"/>
        </w:rPr>
        <w:t xml:space="preserve">such </w:t>
      </w:r>
      <w:r w:rsidRPr="004E0A4F">
        <w:rPr>
          <w:rFonts w:ascii="Times New Roman" w:eastAsia="Times New Roman" w:hAnsi="Times New Roman" w:cs="Times New Roman"/>
          <w:sz w:val="24"/>
          <w:szCs w:val="24"/>
          <w:lang w:val="en-GB"/>
        </w:rPr>
        <w:t xml:space="preserve">domain of student experiences in higher education. </w:t>
      </w:r>
    </w:p>
    <w:p w14:paraId="0000003D" w14:textId="77777777" w:rsidR="00667542" w:rsidRPr="004E0A4F" w:rsidRDefault="00667542">
      <w:pPr>
        <w:jc w:val="both"/>
        <w:rPr>
          <w:rFonts w:ascii="Times New Roman" w:eastAsia="Times New Roman" w:hAnsi="Times New Roman" w:cs="Times New Roman"/>
          <w:sz w:val="24"/>
          <w:szCs w:val="24"/>
          <w:lang w:val="en-GB"/>
        </w:rPr>
      </w:pPr>
    </w:p>
    <w:p w14:paraId="0000003E" w14:textId="131C8096" w:rsidR="00667542" w:rsidRPr="004E0A4F" w:rsidRDefault="001C12ED">
      <w:pPr>
        <w:jc w:val="both"/>
        <w:rPr>
          <w:rFonts w:ascii="Times New Roman" w:eastAsia="Times New Roman" w:hAnsi="Times New Roman" w:cs="Times New Roman"/>
          <w:sz w:val="24"/>
          <w:szCs w:val="24"/>
          <w:lang w:val="en-GB"/>
        </w:rPr>
      </w:pPr>
      <w:r w:rsidRPr="004E0A4F">
        <w:rPr>
          <w:rFonts w:ascii="Times New Roman" w:eastAsia="Times New Roman" w:hAnsi="Times New Roman" w:cs="Times New Roman"/>
          <w:sz w:val="24"/>
          <w:szCs w:val="24"/>
          <w:lang w:val="en-GB"/>
        </w:rPr>
        <w:t xml:space="preserve">The theory of student agency integrates the scholarly focus on institutional structures and processes, and student engagement with these structures, with the student’s capabilities and how the student navigates and influences own learning and education pathways and environments. In other words, it highlights the importance of the student’s capabilities such </w:t>
      </w:r>
      <w:r w:rsidR="007E7953" w:rsidRPr="004E0A4F">
        <w:rPr>
          <w:rFonts w:ascii="Times New Roman" w:eastAsia="Times New Roman" w:hAnsi="Times New Roman" w:cs="Times New Roman"/>
          <w:sz w:val="24"/>
          <w:szCs w:val="24"/>
          <w:lang w:val="en-GB"/>
        </w:rPr>
        <w:t xml:space="preserve">as </w:t>
      </w:r>
      <w:r w:rsidR="007E7953" w:rsidRPr="004E0A4F">
        <w:rPr>
          <w:rFonts w:ascii="Times New Roman" w:eastAsia="Times New Roman" w:hAnsi="Times New Roman" w:cs="Times New Roman"/>
          <w:sz w:val="24"/>
          <w:szCs w:val="24"/>
          <w:highlight w:val="white"/>
          <w:lang w:val="en-GB"/>
        </w:rPr>
        <w:t>intentionality, forethought and self-direction, self-regulation and reflexivity, self-awareness and self-authorship, self-efficacy and self-determination, and mental wellbeing</w:t>
      </w:r>
      <w:r w:rsidRPr="004E0A4F">
        <w:rPr>
          <w:rFonts w:ascii="Times New Roman" w:eastAsia="Times New Roman" w:hAnsi="Times New Roman" w:cs="Times New Roman"/>
          <w:sz w:val="24"/>
          <w:szCs w:val="24"/>
          <w:lang w:val="en-GB"/>
        </w:rPr>
        <w:t xml:space="preserve"> for building resilience, persistence and achieving success in higher education (Barnett 2007). This is to address the notable fragmentation of approaches conceptualizing the conditions of student success in higher education, and to integrate these approaches into an overarching theoretical framework. The development of a theory of student agency is guided by three questions: (1) What is student agency? (2) What are the student agency dynamics across, time, space, and place in higher education (and in the context of transnational higher education cooperation)? (3) How does student agency affect student outcomes? I contend here with Barnett’s (2007) proposition that - educationally - the ontological perspective focusing on the student’s being – what it means to be a student and of the student’s will to learn provide the framing for the students</w:t>
      </w:r>
      <w:r w:rsidR="007E7953" w:rsidRPr="004E0A4F">
        <w:rPr>
          <w:rFonts w:ascii="Times New Roman" w:eastAsia="Times New Roman" w:hAnsi="Times New Roman" w:cs="Times New Roman"/>
          <w:sz w:val="24"/>
          <w:szCs w:val="24"/>
          <w:lang w:val="en-GB"/>
        </w:rPr>
        <w:t>’</w:t>
      </w:r>
      <w:r w:rsidRPr="004E0A4F">
        <w:rPr>
          <w:rFonts w:ascii="Times New Roman" w:eastAsia="Times New Roman" w:hAnsi="Times New Roman" w:cs="Times New Roman"/>
          <w:sz w:val="24"/>
          <w:szCs w:val="24"/>
          <w:lang w:val="en-GB"/>
        </w:rPr>
        <w:t xml:space="preserve"> engagements. This is to say that educationally ontology provides the epistemology and praxis. </w:t>
      </w:r>
    </w:p>
    <w:p w14:paraId="0000003F" w14:textId="77777777" w:rsidR="00667542" w:rsidRPr="004E0A4F" w:rsidRDefault="00667542">
      <w:pPr>
        <w:jc w:val="both"/>
        <w:rPr>
          <w:rFonts w:ascii="Times New Roman" w:eastAsia="Times New Roman" w:hAnsi="Times New Roman" w:cs="Times New Roman"/>
          <w:sz w:val="24"/>
          <w:szCs w:val="24"/>
          <w:lang w:val="en-GB"/>
        </w:rPr>
      </w:pPr>
    </w:p>
    <w:p w14:paraId="00000040" w14:textId="7D44D9A3" w:rsidR="00667542" w:rsidRPr="004E0A4F" w:rsidRDefault="001C12ED">
      <w:pPr>
        <w:jc w:val="both"/>
        <w:rPr>
          <w:rFonts w:ascii="Times New Roman" w:eastAsia="Times New Roman" w:hAnsi="Times New Roman" w:cs="Times New Roman"/>
          <w:sz w:val="24"/>
          <w:szCs w:val="24"/>
          <w:lang w:val="en-GB"/>
        </w:rPr>
      </w:pPr>
      <w:r w:rsidRPr="004E0A4F">
        <w:rPr>
          <w:rFonts w:ascii="Times New Roman" w:eastAsia="Times New Roman" w:hAnsi="Times New Roman" w:cs="Times New Roman"/>
          <w:sz w:val="24"/>
          <w:szCs w:val="24"/>
          <w:lang w:val="en-GB"/>
        </w:rPr>
        <w:lastRenderedPageBreak/>
        <w:t>In my earlier work, I suggest that student agency is premised on agentic possibilities and agentic orientations (</w:t>
      </w:r>
      <w:proofErr w:type="spellStart"/>
      <w:r w:rsidRPr="004E0A4F">
        <w:rPr>
          <w:rFonts w:ascii="Times New Roman" w:eastAsia="Times New Roman" w:hAnsi="Times New Roman" w:cs="Times New Roman"/>
          <w:sz w:val="24"/>
          <w:szCs w:val="24"/>
          <w:lang w:val="en-GB"/>
        </w:rPr>
        <w:t>Klemenčič</w:t>
      </w:r>
      <w:proofErr w:type="spellEnd"/>
      <w:r w:rsidRPr="004E0A4F">
        <w:rPr>
          <w:rFonts w:ascii="Times New Roman" w:eastAsia="Times New Roman" w:hAnsi="Times New Roman" w:cs="Times New Roman"/>
          <w:sz w:val="24"/>
          <w:szCs w:val="24"/>
          <w:lang w:val="en-GB"/>
        </w:rPr>
        <w:t xml:space="preserve"> 2015a, b, 2017, 2018, 2020). The student’s agentic possibilities are positive freedoms and opportunities within higher education structures and processes or broader societal ecosystems for the student to do and to be what they have reason to value (cf. Sen 1985, 1992, 1999, 2009). These structures also contain students’ rights and responsibilities which determine student autonomy. Student autonomy, as a student’s freedom to be, think and </w:t>
      </w:r>
      <w:r w:rsidR="00EC4A49" w:rsidRPr="004E0A4F">
        <w:rPr>
          <w:rFonts w:ascii="Times New Roman" w:eastAsia="Times New Roman" w:hAnsi="Times New Roman" w:cs="Times New Roman"/>
          <w:sz w:val="24"/>
          <w:szCs w:val="24"/>
          <w:lang w:val="en-GB"/>
        </w:rPr>
        <w:t>act, implies</w:t>
      </w:r>
      <w:r w:rsidRPr="004E0A4F">
        <w:rPr>
          <w:rFonts w:ascii="Times New Roman" w:eastAsia="Times New Roman" w:hAnsi="Times New Roman" w:cs="Times New Roman"/>
          <w:sz w:val="24"/>
          <w:szCs w:val="24"/>
          <w:lang w:val="en-GB"/>
        </w:rPr>
        <w:t xml:space="preserve"> </w:t>
      </w:r>
      <w:r w:rsidR="00EC4A49" w:rsidRPr="004E0A4F">
        <w:rPr>
          <w:rFonts w:ascii="Times New Roman" w:eastAsia="Times New Roman" w:hAnsi="Times New Roman" w:cs="Times New Roman"/>
          <w:sz w:val="24"/>
          <w:szCs w:val="24"/>
          <w:lang w:val="en-GB"/>
        </w:rPr>
        <w:t xml:space="preserve">that </w:t>
      </w:r>
      <w:r w:rsidRPr="004E0A4F">
        <w:rPr>
          <w:rFonts w:ascii="Times New Roman" w:eastAsia="Times New Roman" w:hAnsi="Times New Roman" w:cs="Times New Roman"/>
          <w:sz w:val="24"/>
          <w:szCs w:val="24"/>
          <w:lang w:val="en-GB"/>
        </w:rPr>
        <w:t>(the degree</w:t>
      </w:r>
      <w:r w:rsidR="00EC4A49" w:rsidRPr="004E0A4F">
        <w:rPr>
          <w:rFonts w:ascii="Times New Roman" w:eastAsia="Times New Roman" w:hAnsi="Times New Roman" w:cs="Times New Roman"/>
          <w:sz w:val="24"/>
          <w:szCs w:val="24"/>
          <w:lang w:val="en-GB"/>
        </w:rPr>
        <w:t xml:space="preserve"> to which</w:t>
      </w:r>
      <w:r w:rsidRPr="004E0A4F">
        <w:rPr>
          <w:rFonts w:ascii="Times New Roman" w:eastAsia="Times New Roman" w:hAnsi="Times New Roman" w:cs="Times New Roman"/>
          <w:sz w:val="24"/>
          <w:szCs w:val="24"/>
          <w:lang w:val="en-GB"/>
        </w:rPr>
        <w:t xml:space="preserve">) the student’s </w:t>
      </w:r>
      <w:r w:rsidR="0096048A" w:rsidRPr="004E0A4F">
        <w:rPr>
          <w:rFonts w:ascii="Times New Roman" w:eastAsia="Times New Roman" w:hAnsi="Times New Roman" w:cs="Times New Roman"/>
          <w:sz w:val="24"/>
          <w:szCs w:val="24"/>
          <w:lang w:val="en-GB"/>
        </w:rPr>
        <w:t>behaviour</w:t>
      </w:r>
      <w:r w:rsidRPr="004E0A4F">
        <w:rPr>
          <w:rFonts w:ascii="Times New Roman" w:eastAsia="Times New Roman" w:hAnsi="Times New Roman" w:cs="Times New Roman"/>
          <w:sz w:val="24"/>
          <w:szCs w:val="24"/>
          <w:lang w:val="en-GB"/>
        </w:rPr>
        <w:t xml:space="preserve"> is experienced as willingly enacted. The curricular requirements to obtain a degree, for example, inform a student’s choices of courses and study strategies to meet these requirements. Flexibility in these requirements, such as a set of optional courses to choose from or choice of internships with a capstone project versus a senior </w:t>
      </w:r>
      <w:r w:rsidR="00EC4A49" w:rsidRPr="004E0A4F">
        <w:rPr>
          <w:rFonts w:ascii="Times New Roman" w:eastAsia="Times New Roman" w:hAnsi="Times New Roman" w:cs="Times New Roman"/>
          <w:sz w:val="24"/>
          <w:szCs w:val="24"/>
          <w:lang w:val="en-GB"/>
        </w:rPr>
        <w:t>thesis, increases</w:t>
      </w:r>
      <w:r w:rsidRPr="004E0A4F">
        <w:rPr>
          <w:rFonts w:ascii="Times New Roman" w:eastAsia="Times New Roman" w:hAnsi="Times New Roman" w:cs="Times New Roman"/>
          <w:sz w:val="24"/>
          <w:szCs w:val="24"/>
          <w:lang w:val="en-GB"/>
        </w:rPr>
        <w:t xml:space="preserve"> the student’s agentic possibilities and thus strengthens this student’s agency. The student’s agentic possibilities are exogenously given – they originate outside the individual in the context of formal and informal higher education structures and interactions in higher education processes. </w:t>
      </w:r>
    </w:p>
    <w:p w14:paraId="00000041" w14:textId="77777777" w:rsidR="00667542" w:rsidRPr="004E0A4F" w:rsidRDefault="00667542">
      <w:pPr>
        <w:jc w:val="both"/>
        <w:rPr>
          <w:rFonts w:ascii="Times New Roman" w:eastAsia="Times New Roman" w:hAnsi="Times New Roman" w:cs="Times New Roman"/>
          <w:sz w:val="24"/>
          <w:szCs w:val="24"/>
          <w:lang w:val="en-GB"/>
        </w:rPr>
      </w:pPr>
    </w:p>
    <w:p w14:paraId="00000042" w14:textId="3AECFA04" w:rsidR="00667542" w:rsidRPr="004A1E67" w:rsidRDefault="001C12ED">
      <w:pPr>
        <w:spacing w:after="100"/>
        <w:jc w:val="both"/>
        <w:rPr>
          <w:rFonts w:ascii="Times New Roman" w:eastAsia="Times New Roman" w:hAnsi="Times New Roman" w:cs="Times New Roman"/>
          <w:sz w:val="24"/>
          <w:szCs w:val="24"/>
          <w:lang w:val="en-GB"/>
        </w:rPr>
      </w:pPr>
      <w:r w:rsidRPr="004E0A4F">
        <w:rPr>
          <w:rFonts w:ascii="Times New Roman" w:eastAsia="Times New Roman" w:hAnsi="Times New Roman" w:cs="Times New Roman"/>
          <w:sz w:val="24"/>
          <w:szCs w:val="24"/>
          <w:lang w:val="en-GB"/>
        </w:rPr>
        <w:t xml:space="preserve">The student’s agentic orientations reflect human diversity along a range of variables, such as gender, personality traits, cognitive abilities and intellectual dispositions, prior academic achievement, socio-economic background. These are endogenously constructed – they represent the student’s internal responses to external </w:t>
      </w:r>
      <w:r w:rsidR="00EC4A49" w:rsidRPr="004E0A4F">
        <w:rPr>
          <w:rFonts w:ascii="Times New Roman" w:eastAsia="Times New Roman" w:hAnsi="Times New Roman" w:cs="Times New Roman"/>
          <w:sz w:val="24"/>
          <w:szCs w:val="24"/>
          <w:lang w:val="en-GB"/>
        </w:rPr>
        <w:t>situation</w:t>
      </w:r>
      <w:r w:rsidRPr="004E0A4F">
        <w:rPr>
          <w:rFonts w:ascii="Times New Roman" w:eastAsia="Times New Roman" w:hAnsi="Times New Roman" w:cs="Times New Roman"/>
          <w:sz w:val="24"/>
          <w:szCs w:val="24"/>
          <w:lang w:val="en-GB"/>
        </w:rPr>
        <w:t>. The student’s w</w:t>
      </w:r>
      <w:sdt>
        <w:sdtPr>
          <w:rPr>
            <w:lang w:val="en-GB"/>
          </w:rPr>
          <w:tag w:val="goog_rdk_2"/>
          <w:id w:val="1965998101"/>
        </w:sdtPr>
        <w:sdtEndPr/>
        <w:sdtContent/>
      </w:sdt>
      <w:r w:rsidRPr="004A1E67">
        <w:rPr>
          <w:rFonts w:ascii="Times New Roman" w:eastAsia="Times New Roman" w:hAnsi="Times New Roman" w:cs="Times New Roman"/>
          <w:sz w:val="24"/>
          <w:szCs w:val="24"/>
          <w:lang w:val="en-GB"/>
        </w:rPr>
        <w:t xml:space="preserve">ill to </w:t>
      </w:r>
      <w:r w:rsidR="00EC4A49" w:rsidRPr="004A1E67">
        <w:rPr>
          <w:rFonts w:ascii="Times New Roman" w:eastAsia="Times New Roman" w:hAnsi="Times New Roman" w:cs="Times New Roman"/>
          <w:sz w:val="24"/>
          <w:szCs w:val="24"/>
          <w:lang w:val="en-GB"/>
        </w:rPr>
        <w:t>action</w:t>
      </w:r>
      <w:r w:rsidRPr="004A1E67">
        <w:rPr>
          <w:rFonts w:ascii="Times New Roman" w:eastAsia="Times New Roman" w:hAnsi="Times New Roman" w:cs="Times New Roman"/>
          <w:sz w:val="24"/>
          <w:szCs w:val="24"/>
          <w:lang w:val="en-GB"/>
        </w:rPr>
        <w:t xml:space="preserve"> for a set goal is derived from these background characteristics and a specific lens through which the student interprets their own role in the given social situation or setting and acceptable ways of </w:t>
      </w:r>
      <w:r w:rsidR="0096048A" w:rsidRPr="004A1E67">
        <w:rPr>
          <w:rFonts w:ascii="Times New Roman" w:eastAsia="Times New Roman" w:hAnsi="Times New Roman" w:cs="Times New Roman"/>
          <w:sz w:val="24"/>
          <w:szCs w:val="24"/>
          <w:lang w:val="en-GB"/>
        </w:rPr>
        <w:t>behaviour</w:t>
      </w:r>
      <w:r w:rsidRPr="004A1E67">
        <w:rPr>
          <w:rFonts w:ascii="Times New Roman" w:eastAsia="Times New Roman" w:hAnsi="Times New Roman" w:cs="Times New Roman"/>
          <w:sz w:val="24"/>
          <w:szCs w:val="24"/>
          <w:lang w:val="en-GB"/>
        </w:rPr>
        <w:t xml:space="preserve">. This is what Bourdieu (1984, 1988, 1996) refers to as “habitus”. Socio-economic background (class), parents’ education, prior educational background (how selective was the high school), immigrant status and gender can serve as filters for </w:t>
      </w:r>
      <w:r w:rsidR="0096048A" w:rsidRPr="004A1E67">
        <w:rPr>
          <w:rFonts w:ascii="Times New Roman" w:eastAsia="Times New Roman" w:hAnsi="Times New Roman" w:cs="Times New Roman"/>
          <w:sz w:val="24"/>
          <w:szCs w:val="24"/>
          <w:lang w:val="en-GB"/>
        </w:rPr>
        <w:t>analysing</w:t>
      </w:r>
      <w:r w:rsidRPr="004A1E67">
        <w:rPr>
          <w:rFonts w:ascii="Times New Roman" w:eastAsia="Times New Roman" w:hAnsi="Times New Roman" w:cs="Times New Roman"/>
          <w:sz w:val="24"/>
          <w:szCs w:val="24"/>
          <w:lang w:val="en-GB"/>
        </w:rPr>
        <w:t xml:space="preserve"> the student’s perceptions of their own role and expected pathways through higher education. </w:t>
      </w:r>
      <w:proofErr w:type="spellStart"/>
      <w:r w:rsidRPr="004A1E67">
        <w:rPr>
          <w:rFonts w:ascii="Times New Roman" w:eastAsia="Times New Roman" w:hAnsi="Times New Roman" w:cs="Times New Roman"/>
          <w:sz w:val="24"/>
          <w:szCs w:val="24"/>
          <w:lang w:val="en-GB"/>
        </w:rPr>
        <w:t>Swidler</w:t>
      </w:r>
      <w:proofErr w:type="spellEnd"/>
      <w:r w:rsidRPr="004A1E67">
        <w:rPr>
          <w:rFonts w:ascii="Times New Roman" w:eastAsia="Times New Roman" w:hAnsi="Times New Roman" w:cs="Times New Roman"/>
          <w:sz w:val="24"/>
          <w:szCs w:val="24"/>
          <w:lang w:val="en-GB"/>
        </w:rPr>
        <w:t xml:space="preserve"> (1987, 280-284) highlights the importance of cultural repertoires that help individuals navigate their social contexts, make decisions about their actions</w:t>
      </w:r>
      <w:r w:rsidR="00EC4A49" w:rsidRPr="004A1E67">
        <w:rPr>
          <w:rFonts w:ascii="Times New Roman" w:eastAsia="Times New Roman" w:hAnsi="Times New Roman" w:cs="Times New Roman"/>
          <w:sz w:val="24"/>
          <w:szCs w:val="24"/>
          <w:lang w:val="en-GB"/>
        </w:rPr>
        <w:t>,</w:t>
      </w:r>
      <w:r w:rsidRPr="004A1E67">
        <w:rPr>
          <w:rFonts w:ascii="Times New Roman" w:eastAsia="Times New Roman" w:hAnsi="Times New Roman" w:cs="Times New Roman"/>
          <w:sz w:val="24"/>
          <w:szCs w:val="24"/>
          <w:lang w:val="en-GB"/>
        </w:rPr>
        <w:t xml:space="preserve"> and make predictions about the future. </w:t>
      </w:r>
      <w:proofErr w:type="spellStart"/>
      <w:r w:rsidRPr="004A1E67">
        <w:rPr>
          <w:rFonts w:ascii="Times New Roman" w:eastAsia="Times New Roman" w:hAnsi="Times New Roman" w:cs="Times New Roman"/>
          <w:sz w:val="24"/>
          <w:szCs w:val="24"/>
          <w:lang w:val="en-GB"/>
        </w:rPr>
        <w:t>Swidler</w:t>
      </w:r>
      <w:proofErr w:type="spellEnd"/>
      <w:r w:rsidRPr="004A1E67">
        <w:rPr>
          <w:rFonts w:ascii="Times New Roman" w:eastAsia="Times New Roman" w:hAnsi="Times New Roman" w:cs="Times New Roman"/>
          <w:sz w:val="24"/>
          <w:szCs w:val="24"/>
          <w:lang w:val="en-GB"/>
        </w:rPr>
        <w:t xml:space="preserve"> (1987, 280) refers to individuals’ “toolkits for action” as a “set of knowledge, skills and symbols which provide the materials from which individuals and groups construct strategies of action”. In sum, student agentic orientations are “the baggage” that the student brings along when entering higher education and that guide their initial choices and actions. These orientations develop during studentship through interactions with and within the higher education environment</w:t>
      </w:r>
      <w:r w:rsidR="00EC4A49" w:rsidRPr="004A1E67">
        <w:rPr>
          <w:rFonts w:ascii="Times New Roman" w:eastAsia="Times New Roman" w:hAnsi="Times New Roman" w:cs="Times New Roman"/>
          <w:sz w:val="24"/>
          <w:szCs w:val="24"/>
          <w:lang w:val="en-GB"/>
        </w:rPr>
        <w:t>s</w:t>
      </w:r>
      <w:r w:rsidRPr="004A1E67">
        <w:rPr>
          <w:rFonts w:ascii="Times New Roman" w:eastAsia="Times New Roman" w:hAnsi="Times New Roman" w:cs="Times New Roman"/>
          <w:sz w:val="24"/>
          <w:szCs w:val="24"/>
          <w:lang w:val="en-GB"/>
        </w:rPr>
        <w:t xml:space="preserve">. </w:t>
      </w:r>
    </w:p>
    <w:p w14:paraId="00000043" w14:textId="477DA7C0" w:rsidR="00667542" w:rsidRPr="004A1E67" w:rsidRDefault="001C12ED">
      <w:pPr>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Agentic possibilities and orientations are temporally embedded, implying that they are shaped through considerations of past habits of mind and action, present judgments of alternatives for action, and projections of the future (</w:t>
      </w:r>
      <w:proofErr w:type="spellStart"/>
      <w:r w:rsidRPr="004A1E67">
        <w:rPr>
          <w:rFonts w:ascii="Times New Roman" w:eastAsia="Times New Roman" w:hAnsi="Times New Roman" w:cs="Times New Roman"/>
          <w:sz w:val="24"/>
          <w:szCs w:val="24"/>
          <w:lang w:val="en-GB"/>
        </w:rPr>
        <w:t>Emirbayer</w:t>
      </w:r>
      <w:proofErr w:type="spellEnd"/>
      <w:r w:rsidRPr="004A1E67">
        <w:rPr>
          <w:rFonts w:ascii="Times New Roman" w:eastAsia="Times New Roman" w:hAnsi="Times New Roman" w:cs="Times New Roman"/>
          <w:sz w:val="24"/>
          <w:szCs w:val="24"/>
          <w:lang w:val="en-GB"/>
        </w:rPr>
        <w:t xml:space="preserve"> &amp; </w:t>
      </w:r>
      <w:proofErr w:type="spellStart"/>
      <w:r w:rsidRPr="004A1E67">
        <w:rPr>
          <w:rFonts w:ascii="Times New Roman" w:eastAsia="Times New Roman" w:hAnsi="Times New Roman" w:cs="Times New Roman"/>
          <w:sz w:val="24"/>
          <w:szCs w:val="24"/>
          <w:lang w:val="en-GB"/>
        </w:rPr>
        <w:t>Mische</w:t>
      </w:r>
      <w:proofErr w:type="spellEnd"/>
      <w:r w:rsidRPr="004A1E67">
        <w:rPr>
          <w:rFonts w:ascii="Times New Roman" w:eastAsia="Times New Roman" w:hAnsi="Times New Roman" w:cs="Times New Roman"/>
          <w:sz w:val="24"/>
          <w:szCs w:val="24"/>
          <w:lang w:val="en-GB"/>
        </w:rPr>
        <w:t xml:space="preserve"> 1998). They are also intrinsically relational and social, and situated in structural, cultural, and socio-economic-political contexts of action (“space” and “place”). The concept of “space” refers here to the broader socio-economic-political context of the higher education system within which the specific higher education institution in which the student enrols is based. The place refers to the specific higher education institution with its own set of organizationally</w:t>
      </w:r>
      <w:r w:rsidR="00EC4A49" w:rsidRPr="004A1E67">
        <w:rPr>
          <w:rFonts w:ascii="Times New Roman" w:eastAsia="Times New Roman" w:hAnsi="Times New Roman" w:cs="Times New Roman"/>
          <w:sz w:val="24"/>
          <w:szCs w:val="24"/>
          <w:lang w:val="en-GB"/>
        </w:rPr>
        <w:t xml:space="preserve"> </w:t>
      </w:r>
      <w:r w:rsidRPr="004A1E67">
        <w:rPr>
          <w:rFonts w:ascii="Times New Roman" w:eastAsia="Times New Roman" w:hAnsi="Times New Roman" w:cs="Times New Roman"/>
          <w:sz w:val="24"/>
          <w:szCs w:val="24"/>
          <w:lang w:val="en-GB"/>
        </w:rPr>
        <w:t xml:space="preserve">specific cultural factors, such as ‘frames, cultural </w:t>
      </w:r>
      <w:r w:rsidRPr="004A1E67">
        <w:rPr>
          <w:rFonts w:ascii="Times New Roman" w:eastAsia="Times New Roman" w:hAnsi="Times New Roman" w:cs="Times New Roman"/>
          <w:sz w:val="24"/>
          <w:szCs w:val="24"/>
          <w:lang w:val="en-GB"/>
        </w:rPr>
        <w:lastRenderedPageBreak/>
        <w:t>repertoires, symbolic boundaries, cultural capital</w:t>
      </w:r>
      <w:r w:rsidR="0096048A">
        <w:rPr>
          <w:rFonts w:ascii="Times New Roman" w:eastAsia="Times New Roman" w:hAnsi="Times New Roman" w:cs="Times New Roman"/>
          <w:sz w:val="24"/>
          <w:szCs w:val="24"/>
          <w:lang w:val="en-GB"/>
        </w:rPr>
        <w:t>,</w:t>
      </w:r>
      <w:r w:rsidRPr="004A1E67">
        <w:rPr>
          <w:rFonts w:ascii="Times New Roman" w:eastAsia="Times New Roman" w:hAnsi="Times New Roman" w:cs="Times New Roman"/>
          <w:sz w:val="24"/>
          <w:szCs w:val="24"/>
          <w:lang w:val="en-GB"/>
        </w:rPr>
        <w:t xml:space="preserve"> and institutions’ (Lamont and Small 2008, 76.   This conceptualization of student agency is the basis for a comprehensive theory of student agency to explain relations between student agentic capabilities and student outcomes, while accounting for time, space, and place dynamics. This is to offer deeper social scientific understanding of educational processes and outcomes in higher education. </w:t>
      </w:r>
    </w:p>
    <w:p w14:paraId="00000044" w14:textId="77777777" w:rsidR="00667542" w:rsidRPr="004A1E67" w:rsidRDefault="00667542">
      <w:pPr>
        <w:jc w:val="both"/>
        <w:rPr>
          <w:rFonts w:ascii="Times New Roman" w:eastAsia="Times New Roman" w:hAnsi="Times New Roman" w:cs="Times New Roman"/>
          <w:sz w:val="24"/>
          <w:szCs w:val="24"/>
          <w:lang w:val="en-GB"/>
        </w:rPr>
      </w:pPr>
    </w:p>
    <w:p w14:paraId="7D5833E8" w14:textId="77777777" w:rsidR="00B43FD7" w:rsidRDefault="001C12ED">
      <w:pPr>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The theory of student agency has two premises. First, it seeks to explain the “conversion” of agentic orientations in the context of the academic and social structures (offering agentic possibilities and resources) into a set of capabilities that comprise student agency. Second, the theory of student agency captures the conversion of these agentic capabilities in engagement with the higher education structures into student experiences, pathways, and outcomes. Accordingly, the student agency theoretical model, as depicted in Figure 1 below, has two analytical domains: (1) conversion of agentic orientations (habitus, dispositions, traits, gender) in interplay with “structures” into a set of capabilities comprising student agency; and (2) conversion of student agency (as a set of capabilities – beings and doings) in interplay with “structures” into student experiences and outcomes. </w:t>
      </w:r>
    </w:p>
    <w:p w14:paraId="283C1D00" w14:textId="77777777" w:rsidR="00B43FD7" w:rsidRDefault="00B43FD7">
      <w:pPr>
        <w:jc w:val="both"/>
        <w:rPr>
          <w:rFonts w:ascii="Times New Roman" w:eastAsia="Times New Roman" w:hAnsi="Times New Roman" w:cs="Times New Roman"/>
          <w:sz w:val="24"/>
          <w:szCs w:val="24"/>
          <w:lang w:val="en-GB"/>
        </w:rPr>
      </w:pPr>
    </w:p>
    <w:p w14:paraId="00000045" w14:textId="3BCC5094" w:rsidR="00667542" w:rsidRPr="004A1E67" w:rsidRDefault="001C12ED">
      <w:pPr>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Importantly, these processes of conversion are neither linear nor deterministic. Achieving certain student outcomes, such as for example successfully completing a course, can feed back into the agentic capabilities. When a student successfully completes a course, this can consolidate the student’s sense of self-efficacy or affirm self-regulation strategy which reinforces this student’s agency in future courses they take. Or a particular course can prompt the student to reconsider future study plans or a career choice. Again, students</w:t>
      </w:r>
      <w:r w:rsidR="00CB2103" w:rsidRPr="004A1E67">
        <w:rPr>
          <w:rFonts w:ascii="Times New Roman" w:eastAsia="Times New Roman" w:hAnsi="Times New Roman" w:cs="Times New Roman"/>
          <w:sz w:val="24"/>
          <w:szCs w:val="24"/>
          <w:lang w:val="en-GB"/>
        </w:rPr>
        <w:t>’</w:t>
      </w:r>
      <w:r w:rsidRPr="004A1E67">
        <w:rPr>
          <w:rFonts w:ascii="Times New Roman" w:eastAsia="Times New Roman" w:hAnsi="Times New Roman" w:cs="Times New Roman"/>
          <w:sz w:val="24"/>
          <w:szCs w:val="24"/>
          <w:lang w:val="en-GB"/>
        </w:rPr>
        <w:t xml:space="preserve"> capabilities are strengthened by </w:t>
      </w:r>
      <w:r w:rsidR="00CB2103" w:rsidRPr="004A1E67">
        <w:rPr>
          <w:rFonts w:ascii="Times New Roman" w:eastAsia="Times New Roman" w:hAnsi="Times New Roman" w:cs="Times New Roman"/>
          <w:sz w:val="24"/>
          <w:szCs w:val="24"/>
          <w:lang w:val="en-GB"/>
        </w:rPr>
        <w:t xml:space="preserve">the student </w:t>
      </w:r>
      <w:r w:rsidRPr="004A1E67">
        <w:rPr>
          <w:rFonts w:ascii="Times New Roman" w:eastAsia="Times New Roman" w:hAnsi="Times New Roman" w:cs="Times New Roman"/>
          <w:sz w:val="24"/>
          <w:szCs w:val="24"/>
          <w:lang w:val="en-GB"/>
        </w:rPr>
        <w:t xml:space="preserve">being prompted to reflect on and develop </w:t>
      </w:r>
      <w:proofErr w:type="gramStart"/>
      <w:r w:rsidRPr="004A1E67">
        <w:rPr>
          <w:rFonts w:ascii="Times New Roman" w:eastAsia="Times New Roman" w:hAnsi="Times New Roman" w:cs="Times New Roman"/>
          <w:sz w:val="24"/>
          <w:szCs w:val="24"/>
          <w:lang w:val="en-GB"/>
        </w:rPr>
        <w:t>plans for the future</w:t>
      </w:r>
      <w:proofErr w:type="gramEnd"/>
      <w:r w:rsidRPr="004A1E67">
        <w:rPr>
          <w:rFonts w:ascii="Times New Roman" w:eastAsia="Times New Roman" w:hAnsi="Times New Roman" w:cs="Times New Roman"/>
          <w:sz w:val="24"/>
          <w:szCs w:val="24"/>
          <w:lang w:val="en-GB"/>
        </w:rPr>
        <w:t xml:space="preserve">. Furthermore, the model does not presuppose a necessarily progressive development of student agency: student capabilities can also be unchanged or contracted in these processes of conversion. For example, a failure in a particular course can undermine the student’s sense of self-efficacy in the chosen study </w:t>
      </w:r>
      <w:r w:rsidR="00CB2103" w:rsidRPr="004A1E67">
        <w:rPr>
          <w:rFonts w:ascii="Times New Roman" w:eastAsia="Times New Roman" w:hAnsi="Times New Roman" w:cs="Times New Roman"/>
          <w:sz w:val="24"/>
          <w:szCs w:val="24"/>
          <w:lang w:val="en-GB"/>
        </w:rPr>
        <w:t>program and</w:t>
      </w:r>
      <w:r w:rsidRPr="004A1E67">
        <w:rPr>
          <w:rFonts w:ascii="Times New Roman" w:eastAsia="Times New Roman" w:hAnsi="Times New Roman" w:cs="Times New Roman"/>
          <w:sz w:val="24"/>
          <w:szCs w:val="24"/>
          <w:lang w:val="en-GB"/>
        </w:rPr>
        <w:t xml:space="preserve"> raises risks of </w:t>
      </w:r>
      <w:r w:rsidR="00757AED" w:rsidRPr="00757AED">
        <w:rPr>
          <w:rFonts w:ascii="Times New Roman" w:eastAsia="Times New Roman" w:hAnsi="Times New Roman" w:cs="Times New Roman"/>
          <w:sz w:val="24"/>
          <w:szCs w:val="24"/>
          <w:lang w:val="en-GB"/>
        </w:rPr>
        <w:t>dropping out</w:t>
      </w:r>
      <w:r w:rsidRPr="004A1E67">
        <w:rPr>
          <w:rFonts w:ascii="Times New Roman" w:eastAsia="Times New Roman" w:hAnsi="Times New Roman" w:cs="Times New Roman"/>
          <w:sz w:val="24"/>
          <w:szCs w:val="24"/>
          <w:lang w:val="en-GB"/>
        </w:rPr>
        <w:t xml:space="preserve">.  Or course teaching that does not explain the relevance of the acquired knowledge or skills for the chosen profession can diminish the student’s motivation for the study program or the profession. </w:t>
      </w:r>
    </w:p>
    <w:p w14:paraId="00000046" w14:textId="77777777" w:rsidR="00667542" w:rsidRPr="004A1E67" w:rsidRDefault="00667542">
      <w:pPr>
        <w:jc w:val="both"/>
        <w:rPr>
          <w:rFonts w:ascii="Times New Roman" w:eastAsia="Times New Roman" w:hAnsi="Times New Roman" w:cs="Times New Roman"/>
          <w:sz w:val="24"/>
          <w:szCs w:val="24"/>
          <w:lang w:val="en-GB"/>
        </w:rPr>
      </w:pPr>
    </w:p>
    <w:p w14:paraId="00000047" w14:textId="77777777" w:rsidR="00667542" w:rsidRPr="004A1E67" w:rsidRDefault="001C12ED">
      <w:pPr>
        <w:spacing w:after="10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Such an integrated framework allows us to single-out specific variables and to measure relationships between these variables in student experiences in higher education in general or in specific domains of curricular or extracurricular experiences. The model seeks to depict the overarching mechanism of relations between students’ agentic orientations in interplay with agentic possibilities, i.e., agency-structure relations, and student experiences and outcomes. Following Sen's capability approach (Sen 1985, 1999), the proposition here is that evaluations of social arrangements in the context of higher education structures and processes, as they relate to student outcomes and experiences in higher education, be undertaken by focusing on student agency as a set of valuable capabilities. Central to the methodological framework is the concept of </w:t>
      </w:r>
      <w:r w:rsidRPr="004A1E67">
        <w:rPr>
          <w:rFonts w:ascii="Times New Roman" w:eastAsia="Times New Roman" w:hAnsi="Times New Roman" w:cs="Times New Roman"/>
          <w:sz w:val="24"/>
          <w:szCs w:val="24"/>
          <w:lang w:val="en-GB"/>
        </w:rPr>
        <w:lastRenderedPageBreak/>
        <w:t xml:space="preserve">student agency as </w:t>
      </w:r>
      <w:r w:rsidRPr="004A1E67">
        <w:rPr>
          <w:rFonts w:ascii="Times New Roman" w:eastAsia="Times New Roman" w:hAnsi="Times New Roman" w:cs="Times New Roman"/>
          <w:i/>
          <w:sz w:val="24"/>
          <w:szCs w:val="24"/>
          <w:lang w:val="en-GB"/>
        </w:rPr>
        <w:t>a multidimensional, dynamic, and socio-structurally and relationally conditioned concept</w:t>
      </w:r>
      <w:r w:rsidRPr="004A1E67">
        <w:rPr>
          <w:rFonts w:ascii="Times New Roman" w:eastAsia="Times New Roman" w:hAnsi="Times New Roman" w:cs="Times New Roman"/>
          <w:sz w:val="24"/>
          <w:szCs w:val="24"/>
          <w:lang w:val="en-GB"/>
        </w:rPr>
        <w:t xml:space="preserve">. </w:t>
      </w:r>
    </w:p>
    <w:p w14:paraId="00000048" w14:textId="77777777" w:rsidR="00667542" w:rsidRPr="004A1E67" w:rsidRDefault="00667542">
      <w:pPr>
        <w:spacing w:after="100"/>
        <w:jc w:val="both"/>
        <w:rPr>
          <w:rFonts w:ascii="Times New Roman" w:eastAsia="Times New Roman" w:hAnsi="Times New Roman" w:cs="Times New Roman"/>
          <w:sz w:val="24"/>
          <w:szCs w:val="24"/>
          <w:lang w:val="en-GB"/>
        </w:rPr>
      </w:pPr>
    </w:p>
    <w:p w14:paraId="00000049" w14:textId="1EBE70B4" w:rsidR="00667542" w:rsidRDefault="001C12ED">
      <w:pPr>
        <w:spacing w:line="240" w:lineRule="auto"/>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Figure 1: The student agency model (</w:t>
      </w:r>
      <w:sdt>
        <w:sdtPr>
          <w:rPr>
            <w:lang w:val="en-GB"/>
          </w:rPr>
          <w:tag w:val="goog_rdk_3"/>
          <w:id w:val="454532126"/>
        </w:sdtPr>
        <w:sdtEndPr/>
        <w:sdtContent/>
      </w:sdt>
      <w:r w:rsidRPr="004A1E67">
        <w:rPr>
          <w:rFonts w:ascii="Times New Roman" w:eastAsia="Times New Roman" w:hAnsi="Times New Roman" w:cs="Times New Roman"/>
          <w:sz w:val="24"/>
          <w:szCs w:val="24"/>
          <w:lang w:val="en-GB"/>
        </w:rPr>
        <w:t>developed by the author)</w:t>
      </w:r>
    </w:p>
    <w:p w14:paraId="0AF667BC" w14:textId="1CD0CE17" w:rsidR="00221880" w:rsidRPr="004A1E67" w:rsidRDefault="00221880">
      <w:pPr>
        <w:spacing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w:t>
      </w:r>
      <w:proofErr w:type="gramStart"/>
      <w:r>
        <w:rPr>
          <w:rFonts w:ascii="Times New Roman" w:eastAsia="Times New Roman" w:hAnsi="Times New Roman" w:cs="Times New Roman"/>
          <w:sz w:val="24"/>
          <w:szCs w:val="24"/>
          <w:lang w:val="en-GB"/>
        </w:rPr>
        <w:t>about</w:t>
      </w:r>
      <w:proofErr w:type="gramEnd"/>
      <w:r>
        <w:rPr>
          <w:rFonts w:ascii="Times New Roman" w:eastAsia="Times New Roman" w:hAnsi="Times New Roman" w:cs="Times New Roman"/>
          <w:sz w:val="24"/>
          <w:szCs w:val="24"/>
          <w:lang w:val="en-GB"/>
        </w:rPr>
        <w:t xml:space="preserve"> here)</w:t>
      </w:r>
    </w:p>
    <w:p w14:paraId="0000004D" w14:textId="77777777" w:rsidR="00667542" w:rsidRPr="004A1E67" w:rsidRDefault="00667542">
      <w:pPr>
        <w:spacing w:after="100"/>
        <w:jc w:val="both"/>
        <w:rPr>
          <w:rFonts w:ascii="Times New Roman" w:eastAsia="Times New Roman" w:hAnsi="Times New Roman" w:cs="Times New Roman"/>
          <w:sz w:val="24"/>
          <w:szCs w:val="24"/>
          <w:lang w:val="en-GB"/>
        </w:rPr>
      </w:pPr>
    </w:p>
    <w:p w14:paraId="0000004E" w14:textId="77777777" w:rsidR="00667542" w:rsidRPr="004A1E67" w:rsidRDefault="001C12ED">
      <w:pPr>
        <w:pStyle w:val="Heading3"/>
        <w:rPr>
          <w:lang w:val="en-GB"/>
        </w:rPr>
      </w:pPr>
      <w:r w:rsidRPr="004A1E67">
        <w:rPr>
          <w:lang w:val="en-GB"/>
        </w:rPr>
        <w:t>Student agency as a multidimensional, dynamic, and socio-structurally and relationally conditioned concept</w:t>
      </w:r>
    </w:p>
    <w:p w14:paraId="0000004F" w14:textId="77777777" w:rsidR="00667542" w:rsidRPr="004A1E67" w:rsidRDefault="00667542">
      <w:pPr>
        <w:spacing w:after="100"/>
        <w:jc w:val="both"/>
        <w:rPr>
          <w:rFonts w:ascii="Garamond" w:eastAsia="Garamond" w:hAnsi="Garamond" w:cs="Garamond"/>
          <w:sz w:val="17"/>
          <w:szCs w:val="17"/>
          <w:lang w:val="en-GB"/>
        </w:rPr>
      </w:pPr>
    </w:p>
    <w:p w14:paraId="00000050" w14:textId="1283D062" w:rsidR="00667542" w:rsidRPr="004A1E67" w:rsidRDefault="001C12ED">
      <w:pPr>
        <w:spacing w:after="10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Student agency is </w:t>
      </w:r>
      <w:r w:rsidRPr="004A1E67">
        <w:rPr>
          <w:rFonts w:ascii="Times New Roman" w:eastAsia="Times New Roman" w:hAnsi="Times New Roman" w:cs="Times New Roman"/>
          <w:i/>
          <w:sz w:val="24"/>
          <w:szCs w:val="24"/>
          <w:lang w:val="en-GB"/>
        </w:rPr>
        <w:t>a multidimensional concept</w:t>
      </w:r>
      <w:r w:rsidRPr="004A1E67">
        <w:rPr>
          <w:rFonts w:ascii="Times New Roman" w:eastAsia="Times New Roman" w:hAnsi="Times New Roman" w:cs="Times New Roman"/>
          <w:sz w:val="24"/>
          <w:szCs w:val="24"/>
          <w:lang w:val="en-GB"/>
        </w:rPr>
        <w:t xml:space="preserve">. It consists of </w:t>
      </w:r>
      <w:r w:rsidRPr="004A1E67">
        <w:rPr>
          <w:rFonts w:ascii="Times New Roman" w:eastAsia="Times New Roman" w:hAnsi="Times New Roman" w:cs="Times New Roman"/>
          <w:i/>
          <w:sz w:val="24"/>
          <w:szCs w:val="24"/>
          <w:lang w:val="en-GB"/>
        </w:rPr>
        <w:t>a set of capabilities</w:t>
      </w:r>
      <w:r w:rsidRPr="004A1E67">
        <w:rPr>
          <w:rFonts w:ascii="Times New Roman" w:eastAsia="Times New Roman" w:hAnsi="Times New Roman" w:cs="Times New Roman"/>
          <w:sz w:val="24"/>
          <w:szCs w:val="24"/>
          <w:lang w:val="en-GB"/>
        </w:rPr>
        <w:t xml:space="preserve">. We do not yet have a comprehensive list of “valuable” capabilities that comprise student agency in higher education. Which capabilities are “valuable” capabilities comprising student agency requires both substantive and valuational </w:t>
      </w:r>
      <w:proofErr w:type="gramStart"/>
      <w:r w:rsidRPr="004A1E67">
        <w:rPr>
          <w:rFonts w:ascii="Times New Roman" w:eastAsia="Times New Roman" w:hAnsi="Times New Roman" w:cs="Times New Roman"/>
          <w:sz w:val="24"/>
          <w:szCs w:val="24"/>
          <w:lang w:val="en-GB"/>
        </w:rPr>
        <w:t>judgement.</w:t>
      </w:r>
      <w:proofErr w:type="gramEnd"/>
      <w:r w:rsidRPr="004A1E67">
        <w:rPr>
          <w:rFonts w:ascii="Times New Roman" w:eastAsia="Times New Roman" w:hAnsi="Times New Roman" w:cs="Times New Roman"/>
          <w:sz w:val="24"/>
          <w:szCs w:val="24"/>
          <w:lang w:val="en-GB"/>
        </w:rPr>
        <w:t xml:space="preserve"> As discussed earlier, several “valuable” capabilities have been identified in research, such as self-regulation (</w:t>
      </w:r>
      <w:r w:rsidRPr="004A1E67">
        <w:rPr>
          <w:rFonts w:ascii="Times New Roman" w:eastAsia="Times New Roman" w:hAnsi="Times New Roman" w:cs="Times New Roman"/>
          <w:sz w:val="24"/>
          <w:szCs w:val="24"/>
          <w:highlight w:val="white"/>
          <w:lang w:val="en-GB"/>
        </w:rPr>
        <w:t>Zimmerman 2002; Clegg and Bradley 2006</w:t>
      </w:r>
      <w:r w:rsidRPr="004A1E67">
        <w:rPr>
          <w:rFonts w:ascii="Times New Roman" w:eastAsia="Times New Roman" w:hAnsi="Times New Roman" w:cs="Times New Roman"/>
          <w:sz w:val="24"/>
          <w:szCs w:val="24"/>
          <w:lang w:val="en-GB"/>
        </w:rPr>
        <w:t xml:space="preserve">), self-direction (Knowles 1975), self-determination (Deci &amp; Ryan 2000, 2019), self-efficacy (Bandura </w:t>
      </w:r>
      <w:r w:rsidRPr="004A1E67">
        <w:rPr>
          <w:rFonts w:ascii="Times New Roman" w:eastAsia="Times New Roman" w:hAnsi="Times New Roman" w:cs="Times New Roman"/>
          <w:sz w:val="24"/>
          <w:szCs w:val="24"/>
          <w:highlight w:val="white"/>
          <w:lang w:val="en-GB"/>
        </w:rPr>
        <w:t>1986, 1997, 2001, 2005</w:t>
      </w:r>
      <w:r w:rsidRPr="004A1E67">
        <w:rPr>
          <w:rFonts w:ascii="Times New Roman" w:eastAsia="Times New Roman" w:hAnsi="Times New Roman" w:cs="Times New Roman"/>
          <w:sz w:val="24"/>
          <w:szCs w:val="24"/>
          <w:lang w:val="en-GB"/>
        </w:rPr>
        <w:t xml:space="preserve">) and self-authorship (Baxter </w:t>
      </w:r>
      <w:proofErr w:type="spellStart"/>
      <w:r w:rsidRPr="004A1E67">
        <w:rPr>
          <w:rFonts w:ascii="Times New Roman" w:eastAsia="Times New Roman" w:hAnsi="Times New Roman" w:cs="Times New Roman"/>
          <w:sz w:val="24"/>
          <w:szCs w:val="24"/>
          <w:lang w:val="en-GB"/>
        </w:rPr>
        <w:t>Magolda</w:t>
      </w:r>
      <w:proofErr w:type="spellEnd"/>
      <w:r w:rsidRPr="004A1E67">
        <w:rPr>
          <w:rFonts w:ascii="Times New Roman" w:eastAsia="Times New Roman" w:hAnsi="Times New Roman" w:cs="Times New Roman"/>
          <w:sz w:val="24"/>
          <w:szCs w:val="24"/>
          <w:lang w:val="en-GB"/>
        </w:rPr>
        <w:t xml:space="preserve"> 2007, 2008). However, to both revise and create a more holistic list of student functional capabilities, empirical research based on grounded theory is needed to test the existing capabilities and or discover any previously overlooked capabilities that have effects on student experiences and outcomes</w:t>
      </w:r>
      <w:r w:rsidR="00CB2103" w:rsidRPr="004A1E67">
        <w:rPr>
          <w:rFonts w:ascii="Times New Roman" w:eastAsia="Times New Roman" w:hAnsi="Times New Roman" w:cs="Times New Roman"/>
          <w:sz w:val="24"/>
          <w:szCs w:val="24"/>
          <w:lang w:val="en-GB"/>
        </w:rPr>
        <w:t>, such as mental wellbeing as a capability (</w:t>
      </w:r>
      <w:proofErr w:type="spellStart"/>
      <w:r w:rsidR="00CB2103" w:rsidRPr="004A1E67">
        <w:rPr>
          <w:rFonts w:ascii="Times New Roman" w:eastAsia="Times New Roman" w:hAnsi="Times New Roman" w:cs="Times New Roman"/>
          <w:sz w:val="24"/>
          <w:szCs w:val="24"/>
          <w:lang w:val="en-GB"/>
        </w:rPr>
        <w:t>Baik</w:t>
      </w:r>
      <w:proofErr w:type="spellEnd"/>
      <w:r w:rsidR="00CB2103" w:rsidRPr="004A1E67">
        <w:rPr>
          <w:rFonts w:ascii="Times New Roman" w:eastAsia="Times New Roman" w:hAnsi="Times New Roman" w:cs="Times New Roman"/>
          <w:sz w:val="24"/>
          <w:szCs w:val="24"/>
          <w:lang w:val="en-GB"/>
        </w:rPr>
        <w:t xml:space="preserve"> et al 2019</w:t>
      </w:r>
      <w:r w:rsidRPr="004A1E67">
        <w:rPr>
          <w:rFonts w:ascii="Times New Roman" w:eastAsia="Times New Roman" w:hAnsi="Times New Roman" w:cs="Times New Roman"/>
          <w:sz w:val="24"/>
          <w:szCs w:val="24"/>
          <w:lang w:val="en-GB"/>
        </w:rPr>
        <w:t xml:space="preserve">. </w:t>
      </w:r>
    </w:p>
    <w:p w14:paraId="00000051" w14:textId="69CA5EF4" w:rsidR="00667542" w:rsidRPr="004A1E67" w:rsidRDefault="001C12ED">
      <w:pPr>
        <w:spacing w:after="10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Similarly, which student outcomes are desirable also requires both substantive and valuational judgement. Desired student outcomes are listed in higher education policies of government and international organizations and reflected in institutional missions. Again, a grounded theory approach in empirical research can help define the range of expected student outcomes, including those neglected in higher education research, such </w:t>
      </w:r>
      <w:r w:rsidR="00CB2103" w:rsidRPr="004A1E67">
        <w:rPr>
          <w:rFonts w:ascii="Times New Roman" w:eastAsia="Times New Roman" w:hAnsi="Times New Roman" w:cs="Times New Roman"/>
          <w:sz w:val="24"/>
          <w:szCs w:val="24"/>
          <w:lang w:val="en-GB"/>
        </w:rPr>
        <w:t>as mental</w:t>
      </w:r>
      <w:r w:rsidRPr="004A1E67">
        <w:rPr>
          <w:rFonts w:ascii="Times New Roman" w:eastAsia="Times New Roman" w:hAnsi="Times New Roman" w:cs="Times New Roman"/>
          <w:sz w:val="24"/>
          <w:szCs w:val="24"/>
          <w:lang w:val="en-GB"/>
        </w:rPr>
        <w:t xml:space="preserve"> wellbeing (</w:t>
      </w:r>
      <w:proofErr w:type="spellStart"/>
      <w:r w:rsidRPr="004A1E67">
        <w:rPr>
          <w:rFonts w:ascii="Times New Roman" w:eastAsia="Times New Roman" w:hAnsi="Times New Roman" w:cs="Times New Roman"/>
          <w:sz w:val="24"/>
          <w:szCs w:val="24"/>
          <w:lang w:val="en-GB"/>
        </w:rPr>
        <w:t>Baik</w:t>
      </w:r>
      <w:proofErr w:type="spellEnd"/>
      <w:r w:rsidRPr="004A1E67">
        <w:rPr>
          <w:rFonts w:ascii="Times New Roman" w:eastAsia="Times New Roman" w:hAnsi="Times New Roman" w:cs="Times New Roman"/>
          <w:sz w:val="24"/>
          <w:szCs w:val="24"/>
          <w:lang w:val="en-GB"/>
        </w:rPr>
        <w:t xml:space="preserve"> et al 2019), general wellbeing (</w:t>
      </w:r>
      <w:proofErr w:type="spellStart"/>
      <w:r w:rsidRPr="004A1E67">
        <w:rPr>
          <w:rFonts w:ascii="Times New Roman" w:eastAsia="Times New Roman" w:hAnsi="Times New Roman" w:cs="Times New Roman"/>
          <w:sz w:val="24"/>
          <w:szCs w:val="24"/>
          <w:lang w:val="en-GB"/>
        </w:rPr>
        <w:t>Ryff</w:t>
      </w:r>
      <w:proofErr w:type="spellEnd"/>
      <w:r w:rsidRPr="004A1E67">
        <w:rPr>
          <w:rFonts w:ascii="Times New Roman" w:eastAsia="Times New Roman" w:hAnsi="Times New Roman" w:cs="Times New Roman"/>
          <w:sz w:val="24"/>
          <w:szCs w:val="24"/>
          <w:lang w:val="en-GB"/>
        </w:rPr>
        <w:t xml:space="preserve"> 1989) or life satisfaction (Cummins 1996). </w:t>
      </w:r>
    </w:p>
    <w:p w14:paraId="00000052" w14:textId="2FD7E634" w:rsidR="00667542" w:rsidRPr="004A1E67" w:rsidRDefault="001C12ED">
      <w:pPr>
        <w:spacing w:after="10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The student agency model presumes a </w:t>
      </w:r>
      <w:r w:rsidRPr="004A1E67">
        <w:rPr>
          <w:rFonts w:ascii="Times New Roman" w:eastAsia="Times New Roman" w:hAnsi="Times New Roman" w:cs="Times New Roman"/>
          <w:i/>
          <w:sz w:val="24"/>
          <w:szCs w:val="24"/>
          <w:lang w:val="en-GB"/>
        </w:rPr>
        <w:t>dynamic, developmental nature</w:t>
      </w:r>
      <w:r w:rsidRPr="004A1E67">
        <w:rPr>
          <w:rFonts w:ascii="Times New Roman" w:eastAsia="Times New Roman" w:hAnsi="Times New Roman" w:cs="Times New Roman"/>
          <w:sz w:val="24"/>
          <w:szCs w:val="24"/>
          <w:lang w:val="en-GB"/>
        </w:rPr>
        <w:t xml:space="preserve"> of student agency. Agency is not something the student possesses once and for</w:t>
      </w:r>
      <w:r w:rsidR="00CB2103" w:rsidRPr="004A1E67">
        <w:rPr>
          <w:rFonts w:ascii="Times New Roman" w:eastAsia="Times New Roman" w:hAnsi="Times New Roman" w:cs="Times New Roman"/>
          <w:sz w:val="24"/>
          <w:szCs w:val="24"/>
          <w:lang w:val="en-GB"/>
        </w:rPr>
        <w:t xml:space="preserve"> all</w:t>
      </w:r>
      <w:r w:rsidRPr="004A1E67">
        <w:rPr>
          <w:rFonts w:ascii="Times New Roman" w:eastAsia="Times New Roman" w:hAnsi="Times New Roman" w:cs="Times New Roman"/>
          <w:sz w:val="24"/>
          <w:szCs w:val="24"/>
          <w:lang w:val="en-GB"/>
        </w:rPr>
        <w:t>. Rather, student agency refers to capabilities that the student</w:t>
      </w:r>
      <w:r w:rsidR="001207A0" w:rsidRPr="004A1E67">
        <w:rPr>
          <w:rFonts w:ascii="Times New Roman" w:eastAsia="Times New Roman" w:hAnsi="Times New Roman" w:cs="Times New Roman"/>
          <w:sz w:val="24"/>
          <w:szCs w:val="24"/>
          <w:lang w:val="en-GB"/>
        </w:rPr>
        <w:t>s</w:t>
      </w:r>
      <w:r w:rsidRPr="004A1E67">
        <w:rPr>
          <w:rFonts w:ascii="Times New Roman" w:eastAsia="Times New Roman" w:hAnsi="Times New Roman" w:cs="Times New Roman"/>
          <w:sz w:val="24"/>
          <w:szCs w:val="24"/>
          <w:lang w:val="en-GB"/>
        </w:rPr>
        <w:t xml:space="preserve"> can develop from their agentic orientations in interaction with “structures”. In other words, higher education institutions can create conditions for students’ developing valuable capabilities. They can also purposefully target development of agentic capabilities as an expected outcome of educational processes. </w:t>
      </w:r>
    </w:p>
    <w:p w14:paraId="00000053" w14:textId="7AA716A6" w:rsidR="00667542" w:rsidRPr="004A1E67" w:rsidRDefault="001C12ED">
      <w:pPr>
        <w:spacing w:after="10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To capture this dynamic, developmental nature of student agency, empirical research based on the student agency theory should ideally adopt a fully longitudinal, fully mixed methods approach informed by the capabilities approach (</w:t>
      </w:r>
      <w:proofErr w:type="spellStart"/>
      <w:r w:rsidRPr="004A1E67">
        <w:rPr>
          <w:rFonts w:ascii="Times New Roman" w:eastAsia="Times New Roman" w:hAnsi="Times New Roman" w:cs="Times New Roman"/>
          <w:sz w:val="24"/>
          <w:szCs w:val="24"/>
          <w:lang w:val="en-GB"/>
        </w:rPr>
        <w:t>Comim</w:t>
      </w:r>
      <w:proofErr w:type="spellEnd"/>
      <w:r w:rsidRPr="004A1E67">
        <w:rPr>
          <w:rFonts w:ascii="Times New Roman" w:eastAsia="Times New Roman" w:hAnsi="Times New Roman" w:cs="Times New Roman"/>
          <w:sz w:val="24"/>
          <w:szCs w:val="24"/>
          <w:lang w:val="en-GB"/>
        </w:rPr>
        <w:t xml:space="preserve"> 2008). This is to capture how students make sense of changes in their capabilities over time and time projections of future life plans. </w:t>
      </w:r>
      <w:proofErr w:type="spellStart"/>
      <w:r w:rsidRPr="004A1E67">
        <w:rPr>
          <w:rFonts w:ascii="Times New Roman" w:eastAsia="Times New Roman" w:hAnsi="Times New Roman" w:cs="Times New Roman"/>
          <w:i/>
          <w:sz w:val="24"/>
          <w:szCs w:val="24"/>
          <w:lang w:val="en-GB"/>
        </w:rPr>
        <w:t>Timescapes</w:t>
      </w:r>
      <w:proofErr w:type="spellEnd"/>
      <w:r w:rsidRPr="004A1E67">
        <w:rPr>
          <w:rFonts w:ascii="Times New Roman" w:eastAsia="Times New Roman" w:hAnsi="Times New Roman" w:cs="Times New Roman"/>
          <w:i/>
          <w:sz w:val="24"/>
          <w:szCs w:val="24"/>
          <w:lang w:val="en-GB"/>
        </w:rPr>
        <w:t xml:space="preserve"> perspective</w:t>
      </w:r>
      <w:r w:rsidRPr="004A1E67">
        <w:rPr>
          <w:rFonts w:ascii="Times New Roman" w:eastAsia="Times New Roman" w:hAnsi="Times New Roman" w:cs="Times New Roman"/>
          <w:sz w:val="24"/>
          <w:szCs w:val="24"/>
          <w:lang w:val="en-GB"/>
        </w:rPr>
        <w:t xml:space="preserve"> (Neale et al 2012) can add important additional insights to such research by capturing students’ perceptions </w:t>
      </w:r>
      <w:r w:rsidR="001207A0" w:rsidRPr="004A1E67">
        <w:rPr>
          <w:rFonts w:ascii="Times New Roman" w:eastAsia="Times New Roman" w:hAnsi="Times New Roman" w:cs="Times New Roman"/>
          <w:sz w:val="24"/>
          <w:szCs w:val="24"/>
          <w:lang w:val="en-GB"/>
        </w:rPr>
        <w:t>of “</w:t>
      </w:r>
      <w:r w:rsidRPr="004A1E67">
        <w:rPr>
          <w:rFonts w:ascii="Times New Roman" w:eastAsia="Times New Roman" w:hAnsi="Times New Roman" w:cs="Times New Roman"/>
          <w:sz w:val="24"/>
          <w:szCs w:val="24"/>
          <w:lang w:val="en-GB"/>
        </w:rPr>
        <w:t xml:space="preserve">time structures”, how they navigate these, and if and how they challenge </w:t>
      </w:r>
      <w:r w:rsidRPr="004A1E67">
        <w:rPr>
          <w:rFonts w:ascii="Times New Roman" w:eastAsia="Times New Roman" w:hAnsi="Times New Roman" w:cs="Times New Roman"/>
          <w:sz w:val="24"/>
          <w:szCs w:val="24"/>
          <w:lang w:val="en-GB"/>
        </w:rPr>
        <w:lastRenderedPageBreak/>
        <w:t>these. This is to explore the construction and regularization of time as a means of social coordination of student agency, students’ sense of control over their time, and timing, tempo</w:t>
      </w:r>
      <w:r w:rsidR="001207A0" w:rsidRPr="004A1E67">
        <w:rPr>
          <w:rFonts w:ascii="Times New Roman" w:eastAsia="Times New Roman" w:hAnsi="Times New Roman" w:cs="Times New Roman"/>
          <w:sz w:val="24"/>
          <w:szCs w:val="24"/>
          <w:lang w:val="en-GB"/>
        </w:rPr>
        <w:t>,</w:t>
      </w:r>
      <w:r w:rsidRPr="004A1E67">
        <w:rPr>
          <w:rFonts w:ascii="Times New Roman" w:eastAsia="Times New Roman" w:hAnsi="Times New Roman" w:cs="Times New Roman"/>
          <w:sz w:val="24"/>
          <w:szCs w:val="24"/>
          <w:lang w:val="en-GB"/>
        </w:rPr>
        <w:t xml:space="preserve"> and rhythm of the activities they choose to engage in (Neale et al. 2012). Equally important to explore are the everyday and mundane activities and their significance for student agency (Clegg 2005).</w:t>
      </w:r>
    </w:p>
    <w:p w14:paraId="00000054" w14:textId="7134DE0C" w:rsidR="00667542" w:rsidRPr="004A1E67" w:rsidRDefault="001C12ED">
      <w:pPr>
        <w:spacing w:after="100"/>
        <w:jc w:val="both"/>
        <w:rPr>
          <w:rFonts w:ascii="Times New Roman" w:eastAsia="Times New Roman" w:hAnsi="Times New Roman" w:cs="Times New Roman"/>
          <w:sz w:val="24"/>
          <w:szCs w:val="24"/>
          <w:highlight w:val="white"/>
          <w:lang w:val="en-GB"/>
        </w:rPr>
      </w:pPr>
      <w:r w:rsidRPr="004A1E67">
        <w:rPr>
          <w:rFonts w:ascii="Times New Roman" w:eastAsia="Times New Roman" w:hAnsi="Times New Roman" w:cs="Times New Roman"/>
          <w:sz w:val="24"/>
          <w:szCs w:val="24"/>
          <w:lang w:val="en-GB"/>
        </w:rPr>
        <w:t xml:space="preserve">Student agency is </w:t>
      </w:r>
      <w:r w:rsidRPr="004A1E67">
        <w:rPr>
          <w:rFonts w:ascii="Times New Roman" w:eastAsia="Times New Roman" w:hAnsi="Times New Roman" w:cs="Times New Roman"/>
          <w:i/>
          <w:sz w:val="24"/>
          <w:szCs w:val="24"/>
          <w:lang w:val="en-GB"/>
        </w:rPr>
        <w:t xml:space="preserve">socio-structurally and relationally conditioned. </w:t>
      </w:r>
      <w:r w:rsidRPr="004A1E67">
        <w:rPr>
          <w:rFonts w:ascii="Times New Roman" w:eastAsia="Times New Roman" w:hAnsi="Times New Roman" w:cs="Times New Roman"/>
          <w:sz w:val="24"/>
          <w:szCs w:val="24"/>
          <w:lang w:val="en-GB"/>
        </w:rPr>
        <w:t xml:space="preserve">Student agency is in continuous interplay with structures of academic and social life within higher education institutions: the student’s capabilities can be extended or constrained by these structures, and the student can also – by enacting their agency – have effects on these structures and processes. The structures referred here are those that enable persistent patterns of </w:t>
      </w:r>
      <w:r w:rsidR="004A1E67" w:rsidRPr="004A1E67">
        <w:rPr>
          <w:rFonts w:ascii="Times New Roman" w:eastAsia="Times New Roman" w:hAnsi="Times New Roman" w:cs="Times New Roman"/>
          <w:sz w:val="24"/>
          <w:szCs w:val="24"/>
          <w:lang w:val="en-GB"/>
        </w:rPr>
        <w:t>behaviour</w:t>
      </w:r>
      <w:r w:rsidRPr="004A1E67">
        <w:rPr>
          <w:rFonts w:ascii="Times New Roman" w:eastAsia="Times New Roman" w:hAnsi="Times New Roman" w:cs="Times New Roman"/>
          <w:sz w:val="24"/>
          <w:szCs w:val="24"/>
          <w:lang w:val="en-GB"/>
        </w:rPr>
        <w:t xml:space="preserve"> and interactions within higher education institutions (Hurtado 2007, 99-100) and as such have “treatment effects” on student outcomes. These social structures include (Hurtado 2007): (1) formal academic context, (2) informal academic environment, (3) formal social context, including structural features of higher education institutions, and (4) informal social context. </w:t>
      </w:r>
      <w:r w:rsidRPr="004A1E67">
        <w:rPr>
          <w:rFonts w:ascii="Times New Roman" w:eastAsia="Times New Roman" w:hAnsi="Times New Roman" w:cs="Times New Roman"/>
          <w:sz w:val="24"/>
          <w:szCs w:val="24"/>
          <w:highlight w:val="white"/>
          <w:lang w:val="en-GB"/>
        </w:rPr>
        <w:t xml:space="preserve">Formal academic structures include institutional rules and procedures recorded in statutory documents and policies concerning institutional mission, study programs, student rights and responsibilities, etc. Informal academic structures are often referred to as the “hidden curriculum”, i.e., implicit rules that govern academic life. Formal social structures refer to structural features of colleges such as institutional size, residences, student organizations, etc. Informal social structures include peer groups, social nature of student </w:t>
      </w:r>
      <w:r w:rsidR="004A1E67" w:rsidRPr="004A1E67">
        <w:rPr>
          <w:rFonts w:ascii="Times New Roman" w:eastAsia="Times New Roman" w:hAnsi="Times New Roman" w:cs="Times New Roman"/>
          <w:sz w:val="24"/>
          <w:szCs w:val="24"/>
          <w:highlight w:val="white"/>
          <w:lang w:val="en-GB"/>
        </w:rPr>
        <w:t>behaviour</w:t>
      </w:r>
      <w:r w:rsidRPr="004A1E67">
        <w:rPr>
          <w:rFonts w:ascii="Times New Roman" w:eastAsia="Times New Roman" w:hAnsi="Times New Roman" w:cs="Times New Roman"/>
          <w:sz w:val="24"/>
          <w:szCs w:val="24"/>
          <w:highlight w:val="white"/>
          <w:lang w:val="en-GB"/>
        </w:rPr>
        <w:t xml:space="preserve"> and interactions, such as personal friendship groups.</w:t>
      </w:r>
    </w:p>
    <w:p w14:paraId="00000055" w14:textId="66BB7A46" w:rsidR="00667542" w:rsidRPr="004A1E67" w:rsidRDefault="001C12ED">
      <w:pPr>
        <w:spacing w:after="10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To capture this socio-structurally and relationally conditioned nature of student agency, empirical research based on the student agency theory should ideally be conducted in an inter-</w:t>
      </w:r>
      <w:r w:rsidR="001207A0" w:rsidRPr="004A1E67">
        <w:rPr>
          <w:rFonts w:ascii="Times New Roman" w:eastAsia="Times New Roman" w:hAnsi="Times New Roman" w:cs="Times New Roman"/>
          <w:sz w:val="24"/>
          <w:szCs w:val="24"/>
          <w:lang w:val="en-GB"/>
        </w:rPr>
        <w:t>institutional, international</w:t>
      </w:r>
      <w:r w:rsidRPr="004A1E67">
        <w:rPr>
          <w:rFonts w:ascii="Times New Roman" w:eastAsia="Times New Roman" w:hAnsi="Times New Roman" w:cs="Times New Roman"/>
          <w:sz w:val="24"/>
          <w:szCs w:val="24"/>
          <w:lang w:val="en-GB"/>
        </w:rPr>
        <w:t xml:space="preserve"> comparative and disciplinary comparative perspective. In other words, it should capture the “place” and “space” perspectives in research on student agency. </w:t>
      </w:r>
    </w:p>
    <w:p w14:paraId="00000056" w14:textId="102F322E" w:rsidR="00667542" w:rsidRPr="004A1E67" w:rsidRDefault="001C12ED">
      <w:pPr>
        <w:spacing w:after="10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The “place perspective” in the student agency model recognizes the diversity of higher education institutions and their structural features. It also accounts for the diversity in disciplinary practices within the same higher education institutions. These inter-institutional and inter-disciplinary differences are reflected in institutional cultural scripts that inform students’ perceived repertoires for action – cultural schemes that students internalize and </w:t>
      </w:r>
      <w:r w:rsidR="00757AED" w:rsidRPr="00757AED">
        <w:rPr>
          <w:rFonts w:ascii="Times New Roman" w:eastAsia="Times New Roman" w:hAnsi="Times New Roman" w:cs="Times New Roman"/>
          <w:sz w:val="24"/>
          <w:szCs w:val="24"/>
          <w:lang w:val="en-GB"/>
        </w:rPr>
        <w:t>based on</w:t>
      </w:r>
      <w:r w:rsidRPr="004A1E67">
        <w:rPr>
          <w:rFonts w:ascii="Times New Roman" w:eastAsia="Times New Roman" w:hAnsi="Times New Roman" w:cs="Times New Roman"/>
          <w:sz w:val="24"/>
          <w:szCs w:val="24"/>
          <w:lang w:val="en-GB"/>
        </w:rPr>
        <w:t xml:space="preserve"> which they develop preferences, expectations, </w:t>
      </w:r>
      <w:r w:rsidR="004A1E67" w:rsidRPr="004A1E67">
        <w:rPr>
          <w:rFonts w:ascii="Times New Roman" w:eastAsia="Times New Roman" w:hAnsi="Times New Roman" w:cs="Times New Roman"/>
          <w:sz w:val="24"/>
          <w:szCs w:val="24"/>
          <w:lang w:val="en-GB"/>
        </w:rPr>
        <w:t>behaviour</w:t>
      </w:r>
      <w:r w:rsidRPr="004A1E67">
        <w:rPr>
          <w:rFonts w:ascii="Times New Roman" w:eastAsia="Times New Roman" w:hAnsi="Times New Roman" w:cs="Times New Roman"/>
          <w:sz w:val="24"/>
          <w:szCs w:val="24"/>
          <w:lang w:val="en-GB"/>
        </w:rPr>
        <w:t xml:space="preserve"> – an understanding of how to be a student in that university/college. As suggested by </w:t>
      </w:r>
      <w:proofErr w:type="spellStart"/>
      <w:r w:rsidRPr="004A1E67">
        <w:rPr>
          <w:rFonts w:ascii="Times New Roman" w:eastAsia="Times New Roman" w:hAnsi="Times New Roman" w:cs="Times New Roman"/>
          <w:sz w:val="24"/>
          <w:szCs w:val="24"/>
          <w:lang w:val="en-GB"/>
        </w:rPr>
        <w:t>Swidler</w:t>
      </w:r>
      <w:proofErr w:type="spellEnd"/>
      <w:r w:rsidRPr="004A1E67">
        <w:rPr>
          <w:rFonts w:ascii="Times New Roman" w:eastAsia="Times New Roman" w:hAnsi="Times New Roman" w:cs="Times New Roman"/>
          <w:sz w:val="24"/>
          <w:szCs w:val="24"/>
          <w:lang w:val="en-GB"/>
        </w:rPr>
        <w:t xml:space="preserve"> (1986: 273), culture does not influence action by simply prescribing values or end goals; instead, it provides a “toolkit” of skills, habits, rituals, and views that enable individuals to navigate various situations and scenarios. </w:t>
      </w:r>
    </w:p>
    <w:p w14:paraId="00000057" w14:textId="77777777" w:rsidR="00667542" w:rsidRPr="004A1E67" w:rsidRDefault="001C12ED">
      <w:pPr>
        <w:spacing w:after="10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Higher education institutions as social institutions (as “places”) are embedded within a broader cultural and political context of higher education “space”. The concept of “space” offers a particular analytical lens to study the interconnectivity between student agency and broader cultural and political scripts captured in, for example, government policies but also in implicit understandings by policy makers and higher education stakeholders of student agency, higher education processes and structures, and desired student outcomes (Brooks 2021). Particularly important for research on student agency is to capture the cultural understandings of student-</w:t>
      </w:r>
      <w:r w:rsidRPr="004A1E67">
        <w:rPr>
          <w:rFonts w:ascii="Times New Roman" w:eastAsia="Times New Roman" w:hAnsi="Times New Roman" w:cs="Times New Roman"/>
          <w:sz w:val="24"/>
          <w:szCs w:val="24"/>
          <w:lang w:val="en-GB"/>
        </w:rPr>
        <w:lastRenderedPageBreak/>
        <w:t xml:space="preserve">teacher and student-higher education institution relationships, as well as the cultural understanding of student freedom to learn </w:t>
      </w:r>
      <w:r w:rsidRPr="004A1E67">
        <w:rPr>
          <w:rFonts w:ascii="Times New Roman" w:eastAsia="Times New Roman" w:hAnsi="Times New Roman" w:cs="Times New Roman"/>
          <w:i/>
          <w:sz w:val="24"/>
          <w:szCs w:val="24"/>
          <w:lang w:val="en-GB"/>
        </w:rPr>
        <w:t>(“</w:t>
      </w:r>
      <w:proofErr w:type="spellStart"/>
      <w:r w:rsidRPr="004A1E67">
        <w:rPr>
          <w:rFonts w:ascii="Times New Roman" w:eastAsia="Times New Roman" w:hAnsi="Times New Roman" w:cs="Times New Roman"/>
          <w:i/>
          <w:sz w:val="24"/>
          <w:szCs w:val="24"/>
          <w:lang w:val="en-GB"/>
        </w:rPr>
        <w:t>Lehrnfreiheit</w:t>
      </w:r>
      <w:proofErr w:type="spellEnd"/>
      <w:r w:rsidRPr="004A1E67">
        <w:rPr>
          <w:rFonts w:ascii="Times New Roman" w:eastAsia="Times New Roman" w:hAnsi="Times New Roman" w:cs="Times New Roman"/>
          <w:i/>
          <w:sz w:val="24"/>
          <w:szCs w:val="24"/>
          <w:lang w:val="en-GB"/>
        </w:rPr>
        <w:t>”).</w:t>
      </w:r>
      <w:r w:rsidRPr="004A1E67">
        <w:rPr>
          <w:rFonts w:ascii="Times New Roman" w:eastAsia="Times New Roman" w:hAnsi="Times New Roman" w:cs="Times New Roman"/>
          <w:sz w:val="24"/>
          <w:szCs w:val="24"/>
          <w:lang w:val="en-GB"/>
        </w:rPr>
        <w:t xml:space="preserve"> The “space perspective” in the student agency model focuses on cultural scripts and higher education policies related to student agency and student outcomes in higher education, but also explores whether and how students shape these cultural and political scripts. A promising new approach here is “method with place” to explore the interplay between student agency and the emerging new structures in transnational higher education and student mobilities. </w:t>
      </w:r>
    </w:p>
    <w:p w14:paraId="00000058" w14:textId="77777777" w:rsidR="00667542" w:rsidRPr="004A1E67" w:rsidRDefault="001C12ED">
      <w:pPr>
        <w:pStyle w:val="Heading1"/>
        <w:jc w:val="both"/>
        <w:rPr>
          <w:rFonts w:ascii="Times New Roman" w:eastAsia="Times New Roman" w:hAnsi="Times New Roman" w:cs="Times New Roman"/>
          <w:sz w:val="18"/>
          <w:szCs w:val="18"/>
          <w:highlight w:val="white"/>
          <w:lang w:val="en-GB"/>
        </w:rPr>
      </w:pPr>
      <w:bookmarkStart w:id="9" w:name="_heading=h.2s8eyo1" w:colFirst="0" w:colLast="0"/>
      <w:bookmarkEnd w:id="9"/>
      <w:r w:rsidRPr="004A1E67">
        <w:rPr>
          <w:lang w:val="en-GB"/>
        </w:rPr>
        <w:t>Conclusion</w:t>
      </w:r>
    </w:p>
    <w:p w14:paraId="00000059" w14:textId="77777777" w:rsidR="00667542" w:rsidRPr="004A1E67" w:rsidRDefault="001C12ED">
      <w:pPr>
        <w:jc w:val="both"/>
        <w:rPr>
          <w:rFonts w:ascii="Times New Roman" w:eastAsia="Times New Roman" w:hAnsi="Times New Roman" w:cs="Times New Roman"/>
          <w:sz w:val="24"/>
          <w:szCs w:val="24"/>
          <w:highlight w:val="white"/>
          <w:lang w:val="en-GB"/>
        </w:rPr>
      </w:pPr>
      <w:r w:rsidRPr="004A1E67">
        <w:rPr>
          <w:rFonts w:ascii="Times New Roman" w:eastAsia="Times New Roman" w:hAnsi="Times New Roman" w:cs="Times New Roman"/>
          <w:sz w:val="24"/>
          <w:szCs w:val="24"/>
          <w:highlight w:val="white"/>
          <w:lang w:val="en-GB"/>
        </w:rPr>
        <w:t xml:space="preserve">Some of the persistent questions in history of social thought has been how societies maintain the wellbeing of their individuals and what makes societies successful. In a book on successful societies, </w:t>
      </w:r>
      <w:proofErr w:type="gramStart"/>
      <w:r w:rsidRPr="004A1E67">
        <w:rPr>
          <w:rFonts w:ascii="Times New Roman" w:eastAsia="Times New Roman" w:hAnsi="Times New Roman" w:cs="Times New Roman"/>
          <w:sz w:val="24"/>
          <w:szCs w:val="24"/>
          <w:highlight w:val="white"/>
          <w:lang w:val="en-GB"/>
        </w:rPr>
        <w:t>Hall</w:t>
      </w:r>
      <w:proofErr w:type="gramEnd"/>
      <w:r w:rsidRPr="004A1E67">
        <w:rPr>
          <w:rFonts w:ascii="Times New Roman" w:eastAsia="Times New Roman" w:hAnsi="Times New Roman" w:cs="Times New Roman"/>
          <w:sz w:val="24"/>
          <w:szCs w:val="24"/>
          <w:highlight w:val="white"/>
          <w:lang w:val="en-GB"/>
        </w:rPr>
        <w:t xml:space="preserve"> and Lamont (2009, 2) define a successful society as ‘one that enhances the capabilities of people to pursue the goals important to their own lives, whether through individual or collective action’. This definition originates from the liberal values of modern Western societies in which agentic individuals – their choices and capabilities – are seen as central to political democracy, open market economy and cultural freedom (Bromley et al. 2011 cited in </w:t>
      </w:r>
      <w:proofErr w:type="spellStart"/>
      <w:r w:rsidRPr="004A1E67">
        <w:rPr>
          <w:rFonts w:ascii="Times New Roman" w:eastAsia="Times New Roman" w:hAnsi="Times New Roman" w:cs="Times New Roman"/>
          <w:sz w:val="24"/>
          <w:szCs w:val="24"/>
          <w:highlight w:val="white"/>
          <w:lang w:val="en-GB"/>
        </w:rPr>
        <w:t>Klemenčič</w:t>
      </w:r>
      <w:proofErr w:type="spellEnd"/>
      <w:r w:rsidRPr="004A1E67">
        <w:rPr>
          <w:rFonts w:ascii="Times New Roman" w:eastAsia="Times New Roman" w:hAnsi="Times New Roman" w:cs="Times New Roman"/>
          <w:sz w:val="24"/>
          <w:szCs w:val="24"/>
          <w:highlight w:val="white"/>
          <w:lang w:val="en-GB"/>
        </w:rPr>
        <w:t xml:space="preserve"> 2018). If we accept this normative definition of successful societies then education can be considered one of the prime social institutions to contribute to the development of successful societies. Education institutions are uniquely placed to help students develop agentic capabilities, that is the capabilities, as posited by Hall and Lamont, to pursue the goals important to them during their education journey and beyond. </w:t>
      </w:r>
    </w:p>
    <w:p w14:paraId="0000005A" w14:textId="77777777" w:rsidR="00667542" w:rsidRPr="004A1E67" w:rsidRDefault="00667542">
      <w:pPr>
        <w:jc w:val="both"/>
        <w:rPr>
          <w:rFonts w:ascii="Times New Roman" w:eastAsia="Times New Roman" w:hAnsi="Times New Roman" w:cs="Times New Roman"/>
          <w:sz w:val="24"/>
          <w:szCs w:val="24"/>
          <w:highlight w:val="white"/>
          <w:lang w:val="en-GB"/>
        </w:rPr>
      </w:pPr>
    </w:p>
    <w:p w14:paraId="0000005B" w14:textId="77777777" w:rsidR="00667542" w:rsidRPr="004A1E67" w:rsidRDefault="001C12ED">
      <w:pPr>
        <w:jc w:val="both"/>
        <w:rPr>
          <w:rFonts w:ascii="Times New Roman" w:eastAsia="Times New Roman" w:hAnsi="Times New Roman" w:cs="Times New Roman"/>
          <w:sz w:val="24"/>
          <w:szCs w:val="24"/>
          <w:highlight w:val="white"/>
          <w:lang w:val="en-GB"/>
        </w:rPr>
      </w:pPr>
      <w:r w:rsidRPr="004A1E67">
        <w:rPr>
          <w:rFonts w:ascii="Times New Roman" w:eastAsia="Times New Roman" w:hAnsi="Times New Roman" w:cs="Times New Roman"/>
          <w:sz w:val="24"/>
          <w:szCs w:val="24"/>
          <w:highlight w:val="white"/>
          <w:lang w:val="en-GB"/>
        </w:rPr>
        <w:t>Furthermore, if</w:t>
      </w:r>
      <w:r w:rsidRPr="004A1E67">
        <w:rPr>
          <w:rFonts w:ascii="Times New Roman" w:eastAsia="Times New Roman" w:hAnsi="Times New Roman" w:cs="Times New Roman"/>
          <w:sz w:val="24"/>
          <w:szCs w:val="24"/>
          <w:lang w:val="en-GB"/>
        </w:rPr>
        <w:t xml:space="preserve">, as </w:t>
      </w:r>
      <w:proofErr w:type="spellStart"/>
      <w:r w:rsidRPr="004A1E67">
        <w:rPr>
          <w:rFonts w:ascii="Times New Roman" w:eastAsia="Times New Roman" w:hAnsi="Times New Roman" w:cs="Times New Roman"/>
          <w:sz w:val="24"/>
          <w:szCs w:val="24"/>
          <w:lang w:val="en-GB"/>
        </w:rPr>
        <w:t>Marginson</w:t>
      </w:r>
      <w:proofErr w:type="spellEnd"/>
      <w:r w:rsidRPr="004A1E67">
        <w:rPr>
          <w:rFonts w:ascii="Times New Roman" w:eastAsia="Times New Roman" w:hAnsi="Times New Roman" w:cs="Times New Roman"/>
          <w:sz w:val="24"/>
          <w:szCs w:val="24"/>
          <w:lang w:val="en-GB"/>
        </w:rPr>
        <w:t xml:space="preserve"> (2014, 2018, forthcoming) suggests, a core purpose of higher education is students’ self-formation, than student agency is both a condition for students’ self-formation and an outcome of it (</w:t>
      </w:r>
      <w:proofErr w:type="spellStart"/>
      <w:r w:rsidRPr="004A1E67">
        <w:rPr>
          <w:rFonts w:ascii="Times New Roman" w:eastAsia="Times New Roman" w:hAnsi="Times New Roman" w:cs="Times New Roman"/>
          <w:sz w:val="24"/>
          <w:szCs w:val="24"/>
          <w:lang w:val="en-GB"/>
        </w:rPr>
        <w:t>Klemenčič</w:t>
      </w:r>
      <w:proofErr w:type="spellEnd"/>
      <w:r w:rsidRPr="004A1E67">
        <w:rPr>
          <w:rFonts w:ascii="Times New Roman" w:eastAsia="Times New Roman" w:hAnsi="Times New Roman" w:cs="Times New Roman"/>
          <w:sz w:val="24"/>
          <w:szCs w:val="24"/>
          <w:lang w:val="en-GB"/>
        </w:rPr>
        <w:t xml:space="preserve"> 2015a: 17). Such a conception of “higher education as students’ self-formation” challenges the utilitarian notions of higher education in service to society and economy. It also changes the theoretical construct of student agency as merely a condition for society-serving student outcomes to something that can be developed as part of students’ self-formation.  </w:t>
      </w:r>
    </w:p>
    <w:p w14:paraId="0000005C" w14:textId="77777777" w:rsidR="00667542" w:rsidRPr="004A1E67" w:rsidRDefault="00667542">
      <w:pPr>
        <w:jc w:val="both"/>
        <w:rPr>
          <w:rFonts w:ascii="Times New Roman" w:eastAsia="Times New Roman" w:hAnsi="Times New Roman" w:cs="Times New Roman"/>
          <w:sz w:val="24"/>
          <w:szCs w:val="24"/>
          <w:highlight w:val="white"/>
          <w:lang w:val="en-GB"/>
        </w:rPr>
      </w:pPr>
    </w:p>
    <w:p w14:paraId="0000005D" w14:textId="7BEE0A84" w:rsidR="00667542" w:rsidRPr="004A1E67" w:rsidRDefault="001C12ED">
      <w:pPr>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highlight w:val="white"/>
          <w:lang w:val="en-GB"/>
        </w:rPr>
        <w:t>The capabilities approach (Sen 1995, 1999), on which the theory of student agency builds, submits that freedom to achieve wellbeing, which is of primary moral importance, is to be understood in terms of people’s capabilities as real opportunities to do and to be what they reason to value</w:t>
      </w:r>
      <w:r w:rsidRPr="004A1E67">
        <w:rPr>
          <w:rFonts w:ascii="Times New Roman" w:eastAsia="Times New Roman" w:hAnsi="Times New Roman" w:cs="Times New Roman"/>
          <w:sz w:val="24"/>
          <w:szCs w:val="24"/>
          <w:lang w:val="en-GB"/>
        </w:rPr>
        <w:t>. The capabilities approach enables us to explore and expand our understanding of human flourishing (</w:t>
      </w:r>
      <w:proofErr w:type="spellStart"/>
      <w:r w:rsidRPr="004A1E67">
        <w:rPr>
          <w:rFonts w:ascii="Times New Roman" w:eastAsia="Times New Roman" w:hAnsi="Times New Roman" w:cs="Times New Roman"/>
          <w:sz w:val="24"/>
          <w:szCs w:val="24"/>
          <w:lang w:val="en-GB"/>
        </w:rPr>
        <w:t>Drèze</w:t>
      </w:r>
      <w:proofErr w:type="spellEnd"/>
      <w:r w:rsidRPr="004A1E67">
        <w:rPr>
          <w:rFonts w:ascii="Times New Roman" w:eastAsia="Times New Roman" w:hAnsi="Times New Roman" w:cs="Times New Roman"/>
          <w:sz w:val="24"/>
          <w:szCs w:val="24"/>
          <w:lang w:val="en-GB"/>
        </w:rPr>
        <w:t xml:space="preserve"> &amp; Sen 2013; Walker &amp; McLean 2013). Similarly, the theory of student agency, built on the notion of student agency as capabilities, expands our understanding of the role of higher education in promoting student flourishing in higher education and beyond (Kahn 2017; Wilson-Strydom &amp; Walker 2015). </w:t>
      </w:r>
    </w:p>
    <w:p w14:paraId="0000005E" w14:textId="77777777" w:rsidR="00667542" w:rsidRPr="004A1E67" w:rsidRDefault="00667542">
      <w:pPr>
        <w:jc w:val="both"/>
        <w:rPr>
          <w:rFonts w:ascii="Times New Roman" w:eastAsia="Times New Roman" w:hAnsi="Times New Roman" w:cs="Times New Roman"/>
          <w:sz w:val="24"/>
          <w:szCs w:val="24"/>
          <w:highlight w:val="white"/>
          <w:lang w:val="en-GB"/>
        </w:rPr>
      </w:pPr>
    </w:p>
    <w:p w14:paraId="0000005F" w14:textId="77777777" w:rsidR="00667542" w:rsidRPr="004A1E67" w:rsidRDefault="001C12ED">
      <w:pPr>
        <w:pStyle w:val="Heading1"/>
        <w:spacing w:after="100"/>
        <w:jc w:val="both"/>
        <w:rPr>
          <w:lang w:val="en-GB"/>
        </w:rPr>
      </w:pPr>
      <w:r w:rsidRPr="004A1E67">
        <w:rPr>
          <w:lang w:val="en-GB"/>
        </w:rPr>
        <w:lastRenderedPageBreak/>
        <w:t xml:space="preserve">References </w:t>
      </w:r>
    </w:p>
    <w:p w14:paraId="00000060" w14:textId="77777777" w:rsidR="00667542" w:rsidRPr="004A1E67" w:rsidRDefault="001C12ED">
      <w:pPr>
        <w:spacing w:after="100"/>
        <w:ind w:left="540" w:hanging="54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Archer, M. (1995). </w:t>
      </w:r>
      <w:r w:rsidRPr="004A1E67">
        <w:rPr>
          <w:rFonts w:ascii="Times New Roman" w:eastAsia="Times New Roman" w:hAnsi="Times New Roman" w:cs="Times New Roman"/>
          <w:i/>
          <w:sz w:val="24"/>
          <w:szCs w:val="24"/>
          <w:lang w:val="en-GB"/>
        </w:rPr>
        <w:t>Realist social theory: The morphogenetic approach</w:t>
      </w:r>
      <w:r w:rsidRPr="004A1E67">
        <w:rPr>
          <w:rFonts w:ascii="Times New Roman" w:eastAsia="Times New Roman" w:hAnsi="Times New Roman" w:cs="Times New Roman"/>
          <w:sz w:val="24"/>
          <w:szCs w:val="24"/>
          <w:lang w:val="en-GB"/>
        </w:rPr>
        <w:t xml:space="preserve">. Cambridge: Cambridge University Press. https://doi.org/10.1017/CBO9780511557675 </w:t>
      </w:r>
    </w:p>
    <w:p w14:paraId="00000061"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Archer, M. (2000). </w:t>
      </w:r>
      <w:r w:rsidRPr="004A1E67">
        <w:rPr>
          <w:rFonts w:ascii="Times New Roman" w:eastAsia="Times New Roman" w:hAnsi="Times New Roman" w:cs="Times New Roman"/>
          <w:i/>
          <w:sz w:val="24"/>
          <w:szCs w:val="24"/>
          <w:lang w:val="en-GB"/>
        </w:rPr>
        <w:t>Being human: The problem of agency</w:t>
      </w:r>
      <w:r w:rsidRPr="004A1E67">
        <w:rPr>
          <w:rFonts w:ascii="Times New Roman" w:eastAsia="Times New Roman" w:hAnsi="Times New Roman" w:cs="Times New Roman"/>
          <w:sz w:val="24"/>
          <w:szCs w:val="24"/>
          <w:lang w:val="en-GB"/>
        </w:rPr>
        <w:t>. Cambridge: Cambridge University Press.</w:t>
      </w:r>
    </w:p>
    <w:p w14:paraId="00000062"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Archer, M.S. (2003). </w:t>
      </w:r>
      <w:r w:rsidRPr="004A1E67">
        <w:rPr>
          <w:rFonts w:ascii="Times New Roman" w:eastAsia="Times New Roman" w:hAnsi="Times New Roman" w:cs="Times New Roman"/>
          <w:i/>
          <w:sz w:val="24"/>
          <w:szCs w:val="24"/>
          <w:lang w:val="en-GB"/>
        </w:rPr>
        <w:t xml:space="preserve">Structure, </w:t>
      </w:r>
      <w:proofErr w:type="gramStart"/>
      <w:r w:rsidRPr="004A1E67">
        <w:rPr>
          <w:rFonts w:ascii="Times New Roman" w:eastAsia="Times New Roman" w:hAnsi="Times New Roman" w:cs="Times New Roman"/>
          <w:i/>
          <w:sz w:val="24"/>
          <w:szCs w:val="24"/>
          <w:lang w:val="en-GB"/>
        </w:rPr>
        <w:t>agency</w:t>
      </w:r>
      <w:proofErr w:type="gramEnd"/>
      <w:r w:rsidRPr="004A1E67">
        <w:rPr>
          <w:rFonts w:ascii="Times New Roman" w:eastAsia="Times New Roman" w:hAnsi="Times New Roman" w:cs="Times New Roman"/>
          <w:i/>
          <w:sz w:val="24"/>
          <w:szCs w:val="24"/>
          <w:lang w:val="en-GB"/>
        </w:rPr>
        <w:t xml:space="preserve"> and the internal conversation</w:t>
      </w:r>
      <w:r w:rsidRPr="004A1E67">
        <w:rPr>
          <w:rFonts w:ascii="Times New Roman" w:eastAsia="Times New Roman" w:hAnsi="Times New Roman" w:cs="Times New Roman"/>
          <w:sz w:val="24"/>
          <w:szCs w:val="24"/>
          <w:lang w:val="en-GB"/>
        </w:rPr>
        <w:t xml:space="preserve">. Cambridge University Press. https://doi.org/10.1017/CBO9781139087315 </w:t>
      </w:r>
    </w:p>
    <w:p w14:paraId="00000063"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Ashwin, P. (2020). </w:t>
      </w:r>
      <w:r w:rsidRPr="004A1E67">
        <w:rPr>
          <w:rFonts w:ascii="Times New Roman" w:eastAsia="Times New Roman" w:hAnsi="Times New Roman" w:cs="Times New Roman"/>
          <w:i/>
          <w:sz w:val="24"/>
          <w:szCs w:val="24"/>
          <w:lang w:val="en-GB"/>
        </w:rPr>
        <w:t>Transforming University Education: a manifesto</w:t>
      </w:r>
      <w:r w:rsidRPr="004A1E67">
        <w:rPr>
          <w:rFonts w:ascii="Times New Roman" w:eastAsia="Times New Roman" w:hAnsi="Times New Roman" w:cs="Times New Roman"/>
          <w:sz w:val="24"/>
          <w:szCs w:val="24"/>
          <w:lang w:val="en-GB"/>
        </w:rPr>
        <w:t>. Bloomsbury.</w:t>
      </w:r>
    </w:p>
    <w:p w14:paraId="00000064"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Ashwin, P. (2014). Knowledge, </w:t>
      </w:r>
      <w:proofErr w:type="gramStart"/>
      <w:r w:rsidRPr="004A1E67">
        <w:rPr>
          <w:rFonts w:ascii="Times New Roman" w:eastAsia="Times New Roman" w:hAnsi="Times New Roman" w:cs="Times New Roman"/>
          <w:sz w:val="24"/>
          <w:szCs w:val="24"/>
          <w:lang w:val="en-GB"/>
        </w:rPr>
        <w:t>curriculum</w:t>
      </w:r>
      <w:proofErr w:type="gramEnd"/>
      <w:r w:rsidRPr="004A1E67">
        <w:rPr>
          <w:rFonts w:ascii="Times New Roman" w:eastAsia="Times New Roman" w:hAnsi="Times New Roman" w:cs="Times New Roman"/>
          <w:sz w:val="24"/>
          <w:szCs w:val="24"/>
          <w:lang w:val="en-GB"/>
        </w:rPr>
        <w:t xml:space="preserve"> and student understanding in higher education. </w:t>
      </w:r>
      <w:r w:rsidRPr="004A1E67">
        <w:rPr>
          <w:rFonts w:ascii="Times New Roman" w:eastAsia="Times New Roman" w:hAnsi="Times New Roman" w:cs="Times New Roman"/>
          <w:i/>
          <w:sz w:val="24"/>
          <w:szCs w:val="24"/>
          <w:lang w:val="en-GB"/>
        </w:rPr>
        <w:t>Higher Education</w:t>
      </w:r>
      <w:r w:rsidRPr="004A1E67">
        <w:rPr>
          <w:rFonts w:ascii="Times New Roman" w:eastAsia="Times New Roman" w:hAnsi="Times New Roman" w:cs="Times New Roman"/>
          <w:sz w:val="24"/>
          <w:szCs w:val="24"/>
          <w:lang w:val="en-GB"/>
        </w:rPr>
        <w:t xml:space="preserve">, 67(2), 123-126. https://doi.org/10.1007/s10734-014-9715-3 </w:t>
      </w:r>
    </w:p>
    <w:p w14:paraId="00000065"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Ashwin, P. (2009). </w:t>
      </w:r>
      <w:r w:rsidRPr="004A1E67">
        <w:rPr>
          <w:rFonts w:ascii="Times New Roman" w:eastAsia="Times New Roman" w:hAnsi="Times New Roman" w:cs="Times New Roman"/>
          <w:i/>
          <w:sz w:val="24"/>
          <w:szCs w:val="24"/>
          <w:lang w:val="en-GB"/>
        </w:rPr>
        <w:t>Analysing Teaching-Learning Interactions in Higher Education: Accounting for Structure and Agency.</w:t>
      </w:r>
      <w:r w:rsidRPr="004A1E67">
        <w:rPr>
          <w:rFonts w:ascii="Times New Roman" w:eastAsia="Times New Roman" w:hAnsi="Times New Roman" w:cs="Times New Roman"/>
          <w:sz w:val="24"/>
          <w:szCs w:val="24"/>
          <w:lang w:val="en-GB"/>
        </w:rPr>
        <w:t xml:space="preserve"> London, UK: Continuum International Publication.</w:t>
      </w:r>
    </w:p>
    <w:p w14:paraId="00000066" w14:textId="54E41069" w:rsidR="00667542" w:rsidRPr="00A7366B"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Astin</w:t>
      </w:r>
      <w:proofErr w:type="spellEnd"/>
      <w:r w:rsidRPr="004A1E67">
        <w:rPr>
          <w:rFonts w:ascii="Times New Roman" w:eastAsia="Times New Roman" w:hAnsi="Times New Roman" w:cs="Times New Roman"/>
          <w:sz w:val="24"/>
          <w:szCs w:val="24"/>
          <w:lang w:val="en-GB"/>
        </w:rPr>
        <w:t>, A. (1984). Student involv</w:t>
      </w:r>
      <w:sdt>
        <w:sdtPr>
          <w:rPr>
            <w:lang w:val="en-GB"/>
          </w:rPr>
          <w:tag w:val="goog_rdk_4"/>
          <w:id w:val="-827750211"/>
        </w:sdtPr>
        <w:sdtEndPr/>
        <w:sdtContent/>
      </w:sdt>
      <w:r w:rsidRPr="00A7366B">
        <w:rPr>
          <w:rFonts w:ascii="Times New Roman" w:eastAsia="Times New Roman" w:hAnsi="Times New Roman" w:cs="Times New Roman"/>
          <w:sz w:val="24"/>
          <w:szCs w:val="24"/>
          <w:lang w:val="en-GB"/>
        </w:rPr>
        <w:t xml:space="preserve">ement: a developmental theory for higher education. </w:t>
      </w:r>
      <w:r w:rsidRPr="00A7366B">
        <w:rPr>
          <w:rFonts w:ascii="Times New Roman" w:eastAsia="Times New Roman" w:hAnsi="Times New Roman" w:cs="Times New Roman"/>
          <w:i/>
          <w:sz w:val="24"/>
          <w:szCs w:val="24"/>
          <w:lang w:val="en-GB"/>
        </w:rPr>
        <w:t>Journal of College Student Personnel</w:t>
      </w:r>
      <w:r w:rsidRPr="00A7366B">
        <w:rPr>
          <w:rFonts w:ascii="Times New Roman" w:eastAsia="Times New Roman" w:hAnsi="Times New Roman" w:cs="Times New Roman"/>
          <w:sz w:val="24"/>
          <w:szCs w:val="24"/>
          <w:lang w:val="en-GB"/>
        </w:rPr>
        <w:t>, 25(4), 297–308.</w:t>
      </w:r>
    </w:p>
    <w:p w14:paraId="00000067"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proofErr w:type="spellStart"/>
      <w:r w:rsidRPr="00A7366B">
        <w:rPr>
          <w:rFonts w:ascii="Times New Roman" w:eastAsia="Times New Roman" w:hAnsi="Times New Roman" w:cs="Times New Roman"/>
          <w:sz w:val="24"/>
          <w:szCs w:val="24"/>
          <w:lang w:val="en-GB"/>
        </w:rPr>
        <w:t>Baik</w:t>
      </w:r>
      <w:proofErr w:type="spellEnd"/>
      <w:r w:rsidRPr="00A7366B">
        <w:rPr>
          <w:rFonts w:ascii="Times New Roman" w:eastAsia="Times New Roman" w:hAnsi="Times New Roman" w:cs="Times New Roman"/>
          <w:sz w:val="24"/>
          <w:szCs w:val="24"/>
          <w:lang w:val="en-GB"/>
        </w:rPr>
        <w:t xml:space="preserve">, C., </w:t>
      </w:r>
      <w:proofErr w:type="spellStart"/>
      <w:r w:rsidRPr="00A7366B">
        <w:rPr>
          <w:rFonts w:ascii="Times New Roman" w:eastAsia="Times New Roman" w:hAnsi="Times New Roman" w:cs="Times New Roman"/>
          <w:sz w:val="24"/>
          <w:szCs w:val="24"/>
          <w:lang w:val="en-GB"/>
        </w:rPr>
        <w:t>Larcombe</w:t>
      </w:r>
      <w:proofErr w:type="spellEnd"/>
      <w:r w:rsidRPr="00A7366B">
        <w:rPr>
          <w:rFonts w:ascii="Times New Roman" w:eastAsia="Times New Roman" w:hAnsi="Times New Roman" w:cs="Times New Roman"/>
          <w:sz w:val="24"/>
          <w:szCs w:val="24"/>
          <w:lang w:val="en-GB"/>
        </w:rPr>
        <w:t xml:space="preserve">, W., &amp; Brooker, A. (2019). How universities can enhance student mental wellbeing: The student perspective. </w:t>
      </w:r>
      <w:r w:rsidRPr="00A7366B">
        <w:rPr>
          <w:rFonts w:ascii="Times New Roman" w:eastAsia="Times New Roman" w:hAnsi="Times New Roman" w:cs="Times New Roman"/>
          <w:i/>
          <w:sz w:val="24"/>
          <w:szCs w:val="24"/>
          <w:lang w:val="en-GB"/>
        </w:rPr>
        <w:t>Higher Education Research &amp; Development</w:t>
      </w:r>
      <w:r w:rsidRPr="00A7366B">
        <w:rPr>
          <w:rFonts w:ascii="Times New Roman" w:eastAsia="Times New Roman" w:hAnsi="Times New Roman" w:cs="Times New Roman"/>
          <w:sz w:val="24"/>
          <w:szCs w:val="24"/>
          <w:lang w:val="en-GB"/>
        </w:rPr>
        <w:t>, 38(4), 674-687.</w:t>
      </w:r>
    </w:p>
    <w:p w14:paraId="00000068"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Ball, Stephen J., Jackie Davies, Miriam David &amp; Diane Reay (2002). 'Classification' and 'Judgement': Social class and the 'cognitive structures' of choice of Higher Education, </w:t>
      </w:r>
      <w:r w:rsidRPr="00A7366B">
        <w:rPr>
          <w:rFonts w:ascii="Times New Roman" w:eastAsia="Times New Roman" w:hAnsi="Times New Roman" w:cs="Times New Roman"/>
          <w:i/>
          <w:sz w:val="24"/>
          <w:szCs w:val="24"/>
          <w:lang w:val="en-GB"/>
        </w:rPr>
        <w:t>British Journal of Sociology of Education,</w:t>
      </w:r>
      <w:r w:rsidRPr="00A7366B">
        <w:rPr>
          <w:rFonts w:ascii="Times New Roman" w:eastAsia="Times New Roman" w:hAnsi="Times New Roman" w:cs="Times New Roman"/>
          <w:sz w:val="24"/>
          <w:szCs w:val="24"/>
          <w:lang w:val="en-GB"/>
        </w:rPr>
        <w:t xml:space="preserve"> 23:1, 51-72, DOI: 10.1080/01425690120102854</w:t>
      </w:r>
    </w:p>
    <w:p w14:paraId="00000069"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Bandura, A. (1986). </w:t>
      </w:r>
      <w:r w:rsidRPr="00A7366B">
        <w:rPr>
          <w:rFonts w:ascii="Times New Roman" w:eastAsia="Times New Roman" w:hAnsi="Times New Roman" w:cs="Times New Roman"/>
          <w:i/>
          <w:sz w:val="24"/>
          <w:szCs w:val="24"/>
          <w:lang w:val="en-GB"/>
        </w:rPr>
        <w:t>Social Foundations of Thought and Action: A Social Cognitive Theory</w:t>
      </w:r>
      <w:r w:rsidRPr="00A7366B">
        <w:rPr>
          <w:rFonts w:ascii="Times New Roman" w:eastAsia="Times New Roman" w:hAnsi="Times New Roman" w:cs="Times New Roman"/>
          <w:sz w:val="24"/>
          <w:szCs w:val="24"/>
          <w:lang w:val="en-GB"/>
        </w:rPr>
        <w:t>. Prentice-Hall.</w:t>
      </w:r>
    </w:p>
    <w:p w14:paraId="0000006A"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Bandura, A. (1997). </w:t>
      </w:r>
      <w:r w:rsidRPr="00A7366B">
        <w:rPr>
          <w:rFonts w:ascii="Times New Roman" w:eastAsia="Times New Roman" w:hAnsi="Times New Roman" w:cs="Times New Roman"/>
          <w:i/>
          <w:sz w:val="24"/>
          <w:szCs w:val="24"/>
          <w:lang w:val="en-GB"/>
        </w:rPr>
        <w:t>Self-efficacy: The exercise of control</w:t>
      </w:r>
      <w:r w:rsidRPr="00A7366B">
        <w:rPr>
          <w:rFonts w:ascii="Times New Roman" w:eastAsia="Times New Roman" w:hAnsi="Times New Roman" w:cs="Times New Roman"/>
          <w:sz w:val="24"/>
          <w:szCs w:val="24"/>
          <w:lang w:val="en-GB"/>
        </w:rPr>
        <w:t xml:space="preserve">. New York: Freeman </w:t>
      </w:r>
    </w:p>
    <w:p w14:paraId="0000006B"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Bandura A. (2001). Social cognitive theory: An agentic perspective. </w:t>
      </w:r>
      <w:r w:rsidRPr="00A7366B">
        <w:rPr>
          <w:rFonts w:ascii="Times New Roman" w:eastAsia="Times New Roman" w:hAnsi="Times New Roman" w:cs="Times New Roman"/>
          <w:i/>
          <w:sz w:val="24"/>
          <w:szCs w:val="24"/>
          <w:lang w:val="en-GB"/>
        </w:rPr>
        <w:t>Annual Review of Psychology</w:t>
      </w:r>
      <w:r w:rsidRPr="00A7366B">
        <w:rPr>
          <w:rFonts w:ascii="Times New Roman" w:eastAsia="Times New Roman" w:hAnsi="Times New Roman" w:cs="Times New Roman"/>
          <w:sz w:val="24"/>
          <w:szCs w:val="24"/>
          <w:lang w:val="en-GB"/>
        </w:rPr>
        <w:t xml:space="preserve"> 52, 1-26. https://doi.org/10.1146/annurev.psych.52.1.1 </w:t>
      </w:r>
    </w:p>
    <w:p w14:paraId="0000006C"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Barnett, Ronald. (2007). </w:t>
      </w:r>
      <w:r w:rsidRPr="00A7366B">
        <w:rPr>
          <w:rFonts w:ascii="Times New Roman" w:eastAsia="Times New Roman" w:hAnsi="Times New Roman" w:cs="Times New Roman"/>
          <w:i/>
          <w:sz w:val="24"/>
          <w:szCs w:val="24"/>
          <w:lang w:val="en-GB"/>
        </w:rPr>
        <w:t>A Will to Learn: Being a Student in an Age of Uncertainty</w:t>
      </w:r>
      <w:r w:rsidRPr="00A7366B">
        <w:rPr>
          <w:rFonts w:ascii="Times New Roman" w:eastAsia="Times New Roman" w:hAnsi="Times New Roman" w:cs="Times New Roman"/>
          <w:sz w:val="24"/>
          <w:szCs w:val="24"/>
          <w:lang w:val="en-GB"/>
        </w:rPr>
        <w:t xml:space="preserve">. London: McGraw-Hill Education/Open University Press. </w:t>
      </w:r>
    </w:p>
    <w:p w14:paraId="0000006D" w14:textId="1274E05E"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Baxter </w:t>
      </w:r>
      <w:proofErr w:type="spellStart"/>
      <w:r w:rsidRPr="00A7366B">
        <w:rPr>
          <w:rFonts w:ascii="Times New Roman" w:eastAsia="Times New Roman" w:hAnsi="Times New Roman" w:cs="Times New Roman"/>
          <w:sz w:val="24"/>
          <w:szCs w:val="24"/>
          <w:lang w:val="en-GB"/>
        </w:rPr>
        <w:t>Magolda</w:t>
      </w:r>
      <w:proofErr w:type="spellEnd"/>
      <w:r w:rsidRPr="00A7366B">
        <w:rPr>
          <w:rFonts w:ascii="Times New Roman" w:eastAsia="Times New Roman" w:hAnsi="Times New Roman" w:cs="Times New Roman"/>
          <w:sz w:val="24"/>
          <w:szCs w:val="24"/>
          <w:lang w:val="en-GB"/>
        </w:rPr>
        <w:t xml:space="preserve">, M. B. (2007). Self-Authorship: The Foundation for Twenty-First Century Education. </w:t>
      </w:r>
      <w:r w:rsidRPr="00A7366B">
        <w:rPr>
          <w:rFonts w:ascii="Times New Roman" w:eastAsia="Times New Roman" w:hAnsi="Times New Roman" w:cs="Times New Roman"/>
          <w:i/>
          <w:sz w:val="24"/>
          <w:szCs w:val="24"/>
          <w:lang w:val="en-GB"/>
        </w:rPr>
        <w:t>New Directions for Teaching and Learning.</w:t>
      </w:r>
      <w:r w:rsidRPr="00A7366B">
        <w:rPr>
          <w:rFonts w:ascii="Times New Roman" w:eastAsia="Times New Roman" w:hAnsi="Times New Roman" w:cs="Times New Roman"/>
          <w:sz w:val="24"/>
          <w:szCs w:val="24"/>
          <w:lang w:val="en-GB"/>
        </w:rPr>
        <w:t xml:space="preserve"> 2007. 69 - 83. 10.1002/tl.266.</w:t>
      </w:r>
    </w:p>
    <w:p w14:paraId="0000006E"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Baxter </w:t>
      </w:r>
      <w:proofErr w:type="spellStart"/>
      <w:r w:rsidRPr="00A7366B">
        <w:rPr>
          <w:rFonts w:ascii="Times New Roman" w:eastAsia="Times New Roman" w:hAnsi="Times New Roman" w:cs="Times New Roman"/>
          <w:sz w:val="24"/>
          <w:szCs w:val="24"/>
          <w:lang w:val="en-GB"/>
        </w:rPr>
        <w:t>Magolda</w:t>
      </w:r>
      <w:proofErr w:type="spellEnd"/>
      <w:r w:rsidRPr="00A7366B">
        <w:rPr>
          <w:rFonts w:ascii="Times New Roman" w:eastAsia="Times New Roman" w:hAnsi="Times New Roman" w:cs="Times New Roman"/>
          <w:sz w:val="24"/>
          <w:szCs w:val="24"/>
          <w:lang w:val="en-GB"/>
        </w:rPr>
        <w:t xml:space="preserve">, M. B. (2008). Three elements of self-authorship. </w:t>
      </w:r>
      <w:r w:rsidRPr="00A7366B">
        <w:rPr>
          <w:rFonts w:ascii="Times New Roman" w:eastAsia="Times New Roman" w:hAnsi="Times New Roman" w:cs="Times New Roman"/>
          <w:i/>
          <w:sz w:val="24"/>
          <w:szCs w:val="24"/>
          <w:lang w:val="en-GB"/>
        </w:rPr>
        <w:t>Journal of College Student Development</w:t>
      </w:r>
      <w:r w:rsidRPr="00A7366B">
        <w:rPr>
          <w:rFonts w:ascii="Times New Roman" w:eastAsia="Times New Roman" w:hAnsi="Times New Roman" w:cs="Times New Roman"/>
          <w:sz w:val="24"/>
          <w:szCs w:val="24"/>
          <w:lang w:val="en-GB"/>
        </w:rPr>
        <w:t xml:space="preserve">, 49(4), 269-284. https://doi.org/10.1353/CSD.0.0016   </w:t>
      </w:r>
    </w:p>
    <w:p w14:paraId="0000006F"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Biesta, G. J. J., &amp; Tedder, M. (2006). How is agency possible? Towards an ecological understanding of agency-as-achievement (Working Paper 5). Exeter: The Learning Lives Project.</w:t>
      </w:r>
    </w:p>
    <w:p w14:paraId="00000070"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lastRenderedPageBreak/>
        <w:t xml:space="preserve">Biesta, G. J. J., &amp; Tedder, M. (2007). Agency and learning in the </w:t>
      </w:r>
      <w:proofErr w:type="spellStart"/>
      <w:r w:rsidRPr="00A7366B">
        <w:rPr>
          <w:rFonts w:ascii="Times New Roman" w:eastAsia="Times New Roman" w:hAnsi="Times New Roman" w:cs="Times New Roman"/>
          <w:sz w:val="24"/>
          <w:szCs w:val="24"/>
          <w:lang w:val="en-GB"/>
        </w:rPr>
        <w:t>lifecourse</w:t>
      </w:r>
      <w:proofErr w:type="spellEnd"/>
      <w:r w:rsidRPr="00A7366B">
        <w:rPr>
          <w:rFonts w:ascii="Times New Roman" w:eastAsia="Times New Roman" w:hAnsi="Times New Roman" w:cs="Times New Roman"/>
          <w:sz w:val="24"/>
          <w:szCs w:val="24"/>
          <w:lang w:val="en-GB"/>
        </w:rPr>
        <w:t xml:space="preserve">: Towards an ecological perspective. </w:t>
      </w:r>
      <w:r w:rsidRPr="00A7366B">
        <w:rPr>
          <w:rFonts w:ascii="Times New Roman" w:eastAsia="Times New Roman" w:hAnsi="Times New Roman" w:cs="Times New Roman"/>
          <w:i/>
          <w:sz w:val="24"/>
          <w:szCs w:val="24"/>
          <w:lang w:val="en-GB"/>
        </w:rPr>
        <w:t>Studies in the Education of Adults</w:t>
      </w:r>
      <w:r w:rsidRPr="00A7366B">
        <w:rPr>
          <w:rFonts w:ascii="Times New Roman" w:eastAsia="Times New Roman" w:hAnsi="Times New Roman" w:cs="Times New Roman"/>
          <w:sz w:val="24"/>
          <w:szCs w:val="24"/>
          <w:lang w:val="en-GB"/>
        </w:rPr>
        <w:t xml:space="preserve">, 39, 132-149. https://doi.org/10.1080/02660830.2007.11661545 </w:t>
      </w:r>
    </w:p>
    <w:p w14:paraId="00000071"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Biesta, G., Priestley, M., Robinson, S. (2015). The role of beliefs in teacher agency. </w:t>
      </w:r>
      <w:r w:rsidRPr="00A7366B">
        <w:rPr>
          <w:rFonts w:ascii="Times New Roman" w:eastAsia="Times New Roman" w:hAnsi="Times New Roman" w:cs="Times New Roman"/>
          <w:i/>
          <w:sz w:val="24"/>
          <w:szCs w:val="24"/>
          <w:lang w:val="en-GB"/>
        </w:rPr>
        <w:t>Teachers and Teaching</w:t>
      </w:r>
      <w:r w:rsidRPr="00A7366B">
        <w:rPr>
          <w:rFonts w:ascii="Times New Roman" w:eastAsia="Times New Roman" w:hAnsi="Times New Roman" w:cs="Times New Roman"/>
          <w:sz w:val="24"/>
          <w:szCs w:val="24"/>
          <w:lang w:val="en-GB"/>
        </w:rPr>
        <w:t xml:space="preserve">, 21(6), 624-640. https://doi.org/10.1080/13540602.2015.1044325 </w:t>
      </w:r>
    </w:p>
    <w:p w14:paraId="00000072"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proofErr w:type="spellStart"/>
      <w:r w:rsidRPr="00A7366B">
        <w:rPr>
          <w:rFonts w:ascii="Times New Roman" w:eastAsia="Times New Roman" w:hAnsi="Times New Roman" w:cs="Times New Roman"/>
          <w:sz w:val="24"/>
          <w:szCs w:val="24"/>
          <w:lang w:val="en-GB"/>
        </w:rPr>
        <w:t>Bovill</w:t>
      </w:r>
      <w:proofErr w:type="spellEnd"/>
      <w:r w:rsidRPr="00A7366B">
        <w:rPr>
          <w:rFonts w:ascii="Times New Roman" w:eastAsia="Times New Roman" w:hAnsi="Times New Roman" w:cs="Times New Roman"/>
          <w:sz w:val="24"/>
          <w:szCs w:val="24"/>
          <w:lang w:val="en-GB"/>
        </w:rPr>
        <w:t xml:space="preserve">, C., Cook-Sather, A., &amp; </w:t>
      </w:r>
      <w:proofErr w:type="spellStart"/>
      <w:r w:rsidRPr="00A7366B">
        <w:rPr>
          <w:rFonts w:ascii="Times New Roman" w:eastAsia="Times New Roman" w:hAnsi="Times New Roman" w:cs="Times New Roman"/>
          <w:sz w:val="24"/>
          <w:szCs w:val="24"/>
          <w:lang w:val="en-GB"/>
        </w:rPr>
        <w:t>Felten</w:t>
      </w:r>
      <w:proofErr w:type="spellEnd"/>
      <w:r w:rsidRPr="00A7366B">
        <w:rPr>
          <w:rFonts w:ascii="Times New Roman" w:eastAsia="Times New Roman" w:hAnsi="Times New Roman" w:cs="Times New Roman"/>
          <w:sz w:val="24"/>
          <w:szCs w:val="24"/>
          <w:lang w:val="en-GB"/>
        </w:rPr>
        <w:t xml:space="preserve">, P. (2011). Students as co-creators of teaching approaches, course design and curricula: Implications for academic developers. International Journal for Academic Development, 16(2), 133-145. https://doi.org/10.1080/1360144X.2011.568690   </w:t>
      </w:r>
    </w:p>
    <w:p w14:paraId="00000073"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Bourdieu, Pierre. 1984 [1979</w:t>
      </w:r>
      <w:r w:rsidRPr="00A7366B">
        <w:rPr>
          <w:rFonts w:ascii="Times New Roman" w:eastAsia="Times New Roman" w:hAnsi="Times New Roman" w:cs="Times New Roman"/>
          <w:i/>
          <w:sz w:val="24"/>
          <w:szCs w:val="24"/>
          <w:lang w:val="en-GB"/>
        </w:rPr>
        <w:t>]. Distinction: A Social Critique of the Judgment of Taste</w:t>
      </w:r>
      <w:r w:rsidRPr="00A7366B">
        <w:rPr>
          <w:rFonts w:ascii="Times New Roman" w:eastAsia="Times New Roman" w:hAnsi="Times New Roman" w:cs="Times New Roman"/>
          <w:sz w:val="24"/>
          <w:szCs w:val="24"/>
          <w:lang w:val="en-GB"/>
        </w:rPr>
        <w:t>. Translated by Richard Nice. Cambridge, MA: Harvard University Press.</w:t>
      </w:r>
    </w:p>
    <w:p w14:paraId="00000074"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Bourdieu, Pierre. 1988 [1984]. </w:t>
      </w:r>
      <w:r w:rsidRPr="00A7366B">
        <w:rPr>
          <w:rFonts w:ascii="Times New Roman" w:eastAsia="Times New Roman" w:hAnsi="Times New Roman" w:cs="Times New Roman"/>
          <w:i/>
          <w:sz w:val="24"/>
          <w:szCs w:val="24"/>
          <w:lang w:val="en-GB"/>
        </w:rPr>
        <w:t xml:space="preserve">Homo </w:t>
      </w:r>
      <w:proofErr w:type="spellStart"/>
      <w:r w:rsidRPr="00A7366B">
        <w:rPr>
          <w:rFonts w:ascii="Times New Roman" w:eastAsia="Times New Roman" w:hAnsi="Times New Roman" w:cs="Times New Roman"/>
          <w:i/>
          <w:sz w:val="24"/>
          <w:szCs w:val="24"/>
          <w:lang w:val="en-GB"/>
        </w:rPr>
        <w:t>Academicus</w:t>
      </w:r>
      <w:proofErr w:type="spellEnd"/>
      <w:r w:rsidRPr="00A7366B">
        <w:rPr>
          <w:rFonts w:ascii="Times New Roman" w:eastAsia="Times New Roman" w:hAnsi="Times New Roman" w:cs="Times New Roman"/>
          <w:i/>
          <w:sz w:val="24"/>
          <w:szCs w:val="24"/>
          <w:lang w:val="en-GB"/>
        </w:rPr>
        <w:t>.</w:t>
      </w:r>
      <w:r w:rsidRPr="00A7366B">
        <w:rPr>
          <w:rFonts w:ascii="Times New Roman" w:eastAsia="Times New Roman" w:hAnsi="Times New Roman" w:cs="Times New Roman"/>
          <w:sz w:val="24"/>
          <w:szCs w:val="24"/>
          <w:lang w:val="en-GB"/>
        </w:rPr>
        <w:t xml:space="preserve"> Translated by Peter Collier. Stanford, CA: Stanford University Press.</w:t>
      </w:r>
    </w:p>
    <w:p w14:paraId="00000075"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Bourdieu, Pierre. 1996 [1989]. </w:t>
      </w:r>
      <w:r w:rsidRPr="00A7366B">
        <w:rPr>
          <w:rFonts w:ascii="Times New Roman" w:eastAsia="Times New Roman" w:hAnsi="Times New Roman" w:cs="Times New Roman"/>
          <w:i/>
          <w:sz w:val="24"/>
          <w:szCs w:val="24"/>
          <w:lang w:val="en-GB"/>
        </w:rPr>
        <w:t>The State Nobility: Elite Schools and the Field of Power</w:t>
      </w:r>
      <w:r w:rsidRPr="00A7366B">
        <w:rPr>
          <w:rFonts w:ascii="Times New Roman" w:eastAsia="Times New Roman" w:hAnsi="Times New Roman" w:cs="Times New Roman"/>
          <w:sz w:val="24"/>
          <w:szCs w:val="24"/>
          <w:lang w:val="en-GB"/>
        </w:rPr>
        <w:t xml:space="preserve">. Translated by Lauretta C. Clough. Stanford, CA: Stanford University Press. https://doi.org/10.1515/9781503615427 </w:t>
      </w:r>
    </w:p>
    <w:p w14:paraId="00000076"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Bourdieu, Pierre 1998 [1994]. </w:t>
      </w:r>
      <w:r w:rsidRPr="00A7366B">
        <w:rPr>
          <w:rFonts w:ascii="Times New Roman" w:eastAsia="Times New Roman" w:hAnsi="Times New Roman" w:cs="Times New Roman"/>
          <w:i/>
          <w:sz w:val="24"/>
          <w:szCs w:val="24"/>
          <w:lang w:val="en-GB"/>
        </w:rPr>
        <w:t>Practical Reason: On the Theory of Action</w:t>
      </w:r>
      <w:r w:rsidRPr="00A7366B">
        <w:rPr>
          <w:rFonts w:ascii="Times New Roman" w:eastAsia="Times New Roman" w:hAnsi="Times New Roman" w:cs="Times New Roman"/>
          <w:sz w:val="24"/>
          <w:szCs w:val="24"/>
          <w:lang w:val="en-GB"/>
        </w:rPr>
        <w:t>. Stanford, CA: Stanford University</w:t>
      </w:r>
    </w:p>
    <w:p w14:paraId="00000077"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Brooks, R. (2021). The construction of higher education students within national policy: A cross-European comparison. </w:t>
      </w:r>
      <w:r w:rsidRPr="00A7366B">
        <w:rPr>
          <w:rFonts w:ascii="Times New Roman" w:eastAsia="Times New Roman" w:hAnsi="Times New Roman" w:cs="Times New Roman"/>
          <w:i/>
          <w:sz w:val="24"/>
          <w:szCs w:val="24"/>
          <w:lang w:val="en-GB"/>
        </w:rPr>
        <w:t>Compare: A Journal of Comparative and International Education</w:t>
      </w:r>
      <w:r w:rsidRPr="00A7366B">
        <w:rPr>
          <w:rFonts w:ascii="Times New Roman" w:eastAsia="Times New Roman" w:hAnsi="Times New Roman" w:cs="Times New Roman"/>
          <w:sz w:val="24"/>
          <w:szCs w:val="24"/>
          <w:lang w:val="en-GB"/>
        </w:rPr>
        <w:t>, 51(2), 161–180.</w:t>
      </w:r>
    </w:p>
    <w:p w14:paraId="00000078"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Clegg, S. (2004). Critical readings: progress files and the production of the autonomous learner. </w:t>
      </w:r>
      <w:r w:rsidRPr="00A7366B">
        <w:rPr>
          <w:rFonts w:ascii="Times New Roman" w:eastAsia="Times New Roman" w:hAnsi="Times New Roman" w:cs="Times New Roman"/>
          <w:i/>
          <w:sz w:val="24"/>
          <w:szCs w:val="24"/>
          <w:lang w:val="en-GB"/>
        </w:rPr>
        <w:t>Teaching in Higher Education</w:t>
      </w:r>
      <w:r w:rsidRPr="00A7366B">
        <w:rPr>
          <w:rFonts w:ascii="Times New Roman" w:eastAsia="Times New Roman" w:hAnsi="Times New Roman" w:cs="Times New Roman"/>
          <w:sz w:val="24"/>
          <w:szCs w:val="24"/>
          <w:lang w:val="en-GB"/>
        </w:rPr>
        <w:t>, 9(3): 287–298.</w:t>
      </w:r>
    </w:p>
    <w:p w14:paraId="00000079" w14:textId="77777777" w:rsidR="00667542" w:rsidRPr="00A7366B" w:rsidRDefault="001C12ED">
      <w:pPr>
        <w:spacing w:after="100"/>
        <w:ind w:left="720" w:hanging="720"/>
        <w:jc w:val="both"/>
        <w:rPr>
          <w:rFonts w:ascii="Times New Roman" w:eastAsia="Times New Roman" w:hAnsi="Times New Roman" w:cs="Times New Roman"/>
          <w:sz w:val="24"/>
          <w:szCs w:val="24"/>
          <w:u w:val="single"/>
          <w:lang w:val="en-GB"/>
        </w:rPr>
      </w:pPr>
      <w:r w:rsidRPr="00A7366B">
        <w:rPr>
          <w:rFonts w:ascii="Times New Roman" w:eastAsia="Times New Roman" w:hAnsi="Times New Roman" w:cs="Times New Roman"/>
          <w:sz w:val="24"/>
          <w:szCs w:val="24"/>
          <w:lang w:val="en-GB"/>
        </w:rPr>
        <w:t xml:space="preserve">Clegg, S. (2005). Theorising the Mundane: The Significance of Agency. </w:t>
      </w:r>
      <w:r w:rsidRPr="00A7366B">
        <w:rPr>
          <w:rFonts w:ascii="Times New Roman" w:eastAsia="Times New Roman" w:hAnsi="Times New Roman" w:cs="Times New Roman"/>
          <w:i/>
          <w:sz w:val="24"/>
          <w:szCs w:val="24"/>
          <w:lang w:val="en-GB"/>
        </w:rPr>
        <w:t>International Studies in Sociology of Education</w:t>
      </w:r>
      <w:r w:rsidRPr="00A7366B">
        <w:rPr>
          <w:rFonts w:ascii="Times New Roman" w:eastAsia="Times New Roman" w:hAnsi="Times New Roman" w:cs="Times New Roman"/>
          <w:sz w:val="24"/>
          <w:szCs w:val="24"/>
          <w:lang w:val="en-GB"/>
        </w:rPr>
        <w:t xml:space="preserve"> 15 (2): 149–164. 10.1080/09620210500200137</w:t>
      </w:r>
    </w:p>
    <w:p w14:paraId="0000007A"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Clegg, S. (2010). Time future – the dominant discourse of higher education. </w:t>
      </w:r>
      <w:r w:rsidRPr="00A7366B">
        <w:rPr>
          <w:rFonts w:ascii="Times New Roman" w:eastAsia="Times New Roman" w:hAnsi="Times New Roman" w:cs="Times New Roman"/>
          <w:i/>
          <w:sz w:val="24"/>
          <w:szCs w:val="24"/>
          <w:lang w:val="en-GB"/>
        </w:rPr>
        <w:t>Time and Society</w:t>
      </w:r>
      <w:r w:rsidRPr="00A7366B">
        <w:rPr>
          <w:rFonts w:ascii="Times New Roman" w:eastAsia="Times New Roman" w:hAnsi="Times New Roman" w:cs="Times New Roman"/>
          <w:sz w:val="24"/>
          <w:szCs w:val="24"/>
          <w:lang w:val="en-GB"/>
        </w:rPr>
        <w:t xml:space="preserve"> 19(3): 345-364.</w:t>
      </w:r>
    </w:p>
    <w:p w14:paraId="0000007B"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Clegg, Sue (2011). Cultural Capital and Agency: Connecting Critique and Curriculum in Higher Education. </w:t>
      </w:r>
      <w:r w:rsidRPr="00A7366B">
        <w:rPr>
          <w:rFonts w:ascii="Times New Roman" w:eastAsia="Times New Roman" w:hAnsi="Times New Roman" w:cs="Times New Roman"/>
          <w:i/>
          <w:sz w:val="24"/>
          <w:szCs w:val="24"/>
          <w:lang w:val="en-GB"/>
        </w:rPr>
        <w:t>British Journal of Sociology of Education</w:t>
      </w:r>
      <w:r w:rsidRPr="00A7366B">
        <w:rPr>
          <w:rFonts w:ascii="Times New Roman" w:eastAsia="Times New Roman" w:hAnsi="Times New Roman" w:cs="Times New Roman"/>
          <w:sz w:val="24"/>
          <w:szCs w:val="24"/>
          <w:lang w:val="en-GB"/>
        </w:rPr>
        <w:t xml:space="preserve"> 32(1): 93-108 </w:t>
      </w:r>
    </w:p>
    <w:p w14:paraId="0000007C"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Clegg S &amp; Bradley S (2006). Models of Personal Development: Practices and Processes. </w:t>
      </w:r>
      <w:r w:rsidRPr="00A7366B">
        <w:rPr>
          <w:rFonts w:ascii="Times New Roman" w:eastAsia="Times New Roman" w:hAnsi="Times New Roman" w:cs="Times New Roman"/>
          <w:i/>
          <w:sz w:val="24"/>
          <w:szCs w:val="24"/>
          <w:lang w:val="en-GB"/>
        </w:rPr>
        <w:t>British Educational Research Journal</w:t>
      </w:r>
      <w:r w:rsidRPr="00A7366B">
        <w:rPr>
          <w:rFonts w:ascii="Times New Roman" w:eastAsia="Times New Roman" w:hAnsi="Times New Roman" w:cs="Times New Roman"/>
          <w:sz w:val="24"/>
          <w:szCs w:val="24"/>
          <w:lang w:val="en-GB"/>
        </w:rPr>
        <w:t xml:space="preserve"> 32(1): 57–76.</w:t>
      </w:r>
    </w:p>
    <w:p w14:paraId="0000007D"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Clegg, S. &amp; </w:t>
      </w:r>
      <w:proofErr w:type="spellStart"/>
      <w:r w:rsidRPr="00A7366B">
        <w:rPr>
          <w:rFonts w:ascii="Times New Roman" w:eastAsia="Times New Roman" w:hAnsi="Times New Roman" w:cs="Times New Roman"/>
          <w:sz w:val="24"/>
          <w:szCs w:val="24"/>
          <w:lang w:val="en-GB"/>
        </w:rPr>
        <w:t>Bufton</w:t>
      </w:r>
      <w:proofErr w:type="spellEnd"/>
      <w:r w:rsidRPr="00A7366B">
        <w:rPr>
          <w:rFonts w:ascii="Times New Roman" w:eastAsia="Times New Roman" w:hAnsi="Times New Roman" w:cs="Times New Roman"/>
          <w:sz w:val="24"/>
          <w:szCs w:val="24"/>
          <w:lang w:val="en-GB"/>
        </w:rPr>
        <w:t xml:space="preserve">, S. (2008). Student support through personal development planning: retrospection and time. </w:t>
      </w:r>
      <w:r w:rsidRPr="00A7366B">
        <w:rPr>
          <w:rFonts w:ascii="Times New Roman" w:eastAsia="Times New Roman" w:hAnsi="Times New Roman" w:cs="Times New Roman"/>
          <w:i/>
          <w:sz w:val="24"/>
          <w:szCs w:val="24"/>
          <w:lang w:val="en-GB"/>
        </w:rPr>
        <w:t>Research Papers in Education</w:t>
      </w:r>
      <w:r w:rsidRPr="00A7366B">
        <w:rPr>
          <w:rFonts w:ascii="Times New Roman" w:eastAsia="Times New Roman" w:hAnsi="Times New Roman" w:cs="Times New Roman"/>
          <w:sz w:val="24"/>
          <w:szCs w:val="24"/>
          <w:lang w:val="en-GB"/>
        </w:rPr>
        <w:t>, 23(4): 1–16.</w:t>
      </w:r>
    </w:p>
    <w:p w14:paraId="0000007E"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Clegg, S., Stevenson, J., &amp; </w:t>
      </w:r>
      <w:proofErr w:type="spellStart"/>
      <w:r w:rsidRPr="00A7366B">
        <w:rPr>
          <w:rFonts w:ascii="Times New Roman" w:eastAsia="Times New Roman" w:hAnsi="Times New Roman" w:cs="Times New Roman"/>
          <w:sz w:val="24"/>
          <w:szCs w:val="24"/>
          <w:lang w:val="en-GB"/>
        </w:rPr>
        <w:t>Willott</w:t>
      </w:r>
      <w:proofErr w:type="spellEnd"/>
      <w:r w:rsidRPr="00A7366B">
        <w:rPr>
          <w:rFonts w:ascii="Times New Roman" w:eastAsia="Times New Roman" w:hAnsi="Times New Roman" w:cs="Times New Roman"/>
          <w:sz w:val="24"/>
          <w:szCs w:val="24"/>
          <w:lang w:val="en-GB"/>
        </w:rPr>
        <w:t xml:space="preserve">, J. (2010). Staff conceptions of curricular and extracurricular activities in higher education. </w:t>
      </w:r>
      <w:r w:rsidRPr="00A7366B">
        <w:rPr>
          <w:rFonts w:ascii="Times New Roman" w:eastAsia="Times New Roman" w:hAnsi="Times New Roman" w:cs="Times New Roman"/>
          <w:i/>
          <w:sz w:val="24"/>
          <w:szCs w:val="24"/>
          <w:lang w:val="en-GB"/>
        </w:rPr>
        <w:t>Higher Education</w:t>
      </w:r>
      <w:r w:rsidRPr="00A7366B">
        <w:rPr>
          <w:rFonts w:ascii="Times New Roman" w:eastAsia="Times New Roman" w:hAnsi="Times New Roman" w:cs="Times New Roman"/>
          <w:sz w:val="24"/>
          <w:szCs w:val="24"/>
          <w:lang w:val="en-GB"/>
        </w:rPr>
        <w:t xml:space="preserve">, 59(5), 615–626. http://www.jstor.org/stable/40602423 </w:t>
      </w:r>
    </w:p>
    <w:p w14:paraId="0000007F"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lastRenderedPageBreak/>
        <w:t xml:space="preserve">Clegg, Sue &amp; Jacqueline Stevenson (2013) The interview reconsidered: context, genre, </w:t>
      </w:r>
      <w:proofErr w:type="gramStart"/>
      <w:r w:rsidRPr="00A7366B">
        <w:rPr>
          <w:rFonts w:ascii="Times New Roman" w:eastAsia="Times New Roman" w:hAnsi="Times New Roman" w:cs="Times New Roman"/>
          <w:sz w:val="24"/>
          <w:szCs w:val="24"/>
          <w:lang w:val="en-GB"/>
        </w:rPr>
        <w:t>reflexivity</w:t>
      </w:r>
      <w:proofErr w:type="gramEnd"/>
      <w:r w:rsidRPr="00A7366B">
        <w:rPr>
          <w:rFonts w:ascii="Times New Roman" w:eastAsia="Times New Roman" w:hAnsi="Times New Roman" w:cs="Times New Roman"/>
          <w:sz w:val="24"/>
          <w:szCs w:val="24"/>
          <w:lang w:val="en-GB"/>
        </w:rPr>
        <w:t xml:space="preserve"> and interpretation in sociological approaches to interviews in higher education research, </w:t>
      </w:r>
      <w:r w:rsidRPr="00A7366B">
        <w:rPr>
          <w:rFonts w:ascii="Times New Roman" w:eastAsia="Times New Roman" w:hAnsi="Times New Roman" w:cs="Times New Roman"/>
          <w:i/>
          <w:sz w:val="24"/>
          <w:szCs w:val="24"/>
          <w:lang w:val="en-GB"/>
        </w:rPr>
        <w:t>Higher Education Research &amp; Development</w:t>
      </w:r>
      <w:r w:rsidRPr="00A7366B">
        <w:rPr>
          <w:rFonts w:ascii="Times New Roman" w:eastAsia="Times New Roman" w:hAnsi="Times New Roman" w:cs="Times New Roman"/>
          <w:sz w:val="24"/>
          <w:szCs w:val="24"/>
          <w:lang w:val="en-GB"/>
        </w:rPr>
        <w:t>, 32:1, 5-16, DOI: 10.1080/07294360.2012.750277</w:t>
      </w:r>
    </w:p>
    <w:p w14:paraId="00000080"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proofErr w:type="spellStart"/>
      <w:r w:rsidRPr="00A7366B">
        <w:rPr>
          <w:rFonts w:ascii="Times New Roman" w:eastAsia="Times New Roman" w:hAnsi="Times New Roman" w:cs="Times New Roman"/>
          <w:sz w:val="24"/>
          <w:szCs w:val="24"/>
          <w:lang w:val="en-GB"/>
        </w:rPr>
        <w:t>Comim</w:t>
      </w:r>
      <w:proofErr w:type="spellEnd"/>
      <w:r w:rsidRPr="00A7366B">
        <w:rPr>
          <w:rFonts w:ascii="Times New Roman" w:eastAsia="Times New Roman" w:hAnsi="Times New Roman" w:cs="Times New Roman"/>
          <w:sz w:val="24"/>
          <w:szCs w:val="24"/>
          <w:lang w:val="en-GB"/>
        </w:rPr>
        <w:t xml:space="preserve">, F. (2008). Measuring capabilities. In </w:t>
      </w:r>
      <w:proofErr w:type="spellStart"/>
      <w:r w:rsidRPr="00A7366B">
        <w:rPr>
          <w:rFonts w:ascii="Times New Roman" w:eastAsia="Times New Roman" w:hAnsi="Times New Roman" w:cs="Times New Roman"/>
          <w:sz w:val="24"/>
          <w:szCs w:val="24"/>
          <w:lang w:val="en-GB"/>
        </w:rPr>
        <w:t>Comim</w:t>
      </w:r>
      <w:proofErr w:type="spellEnd"/>
      <w:r w:rsidRPr="00A7366B">
        <w:rPr>
          <w:rFonts w:ascii="Times New Roman" w:eastAsia="Times New Roman" w:hAnsi="Times New Roman" w:cs="Times New Roman"/>
          <w:sz w:val="24"/>
          <w:szCs w:val="24"/>
          <w:lang w:val="en-GB"/>
        </w:rPr>
        <w:t xml:space="preserve">, Flavio; </w:t>
      </w:r>
      <w:proofErr w:type="spellStart"/>
      <w:r w:rsidRPr="00A7366B">
        <w:rPr>
          <w:rFonts w:ascii="Times New Roman" w:eastAsia="Times New Roman" w:hAnsi="Times New Roman" w:cs="Times New Roman"/>
          <w:sz w:val="24"/>
          <w:szCs w:val="24"/>
          <w:lang w:val="en-GB"/>
        </w:rPr>
        <w:t>Qizilbash</w:t>
      </w:r>
      <w:proofErr w:type="spellEnd"/>
      <w:r w:rsidRPr="00A7366B">
        <w:rPr>
          <w:rFonts w:ascii="Times New Roman" w:eastAsia="Times New Roman" w:hAnsi="Times New Roman" w:cs="Times New Roman"/>
          <w:sz w:val="24"/>
          <w:szCs w:val="24"/>
          <w:lang w:val="en-GB"/>
        </w:rPr>
        <w:t xml:space="preserve">, </w:t>
      </w:r>
      <w:proofErr w:type="spellStart"/>
      <w:r w:rsidRPr="00A7366B">
        <w:rPr>
          <w:rFonts w:ascii="Times New Roman" w:eastAsia="Times New Roman" w:hAnsi="Times New Roman" w:cs="Times New Roman"/>
          <w:sz w:val="24"/>
          <w:szCs w:val="24"/>
          <w:lang w:val="en-GB"/>
        </w:rPr>
        <w:t>Mozaffar</w:t>
      </w:r>
      <w:proofErr w:type="spellEnd"/>
      <w:r w:rsidRPr="00A7366B">
        <w:rPr>
          <w:rFonts w:ascii="Times New Roman" w:eastAsia="Times New Roman" w:hAnsi="Times New Roman" w:cs="Times New Roman"/>
          <w:sz w:val="24"/>
          <w:szCs w:val="24"/>
          <w:lang w:val="en-GB"/>
        </w:rPr>
        <w:t xml:space="preserve"> &amp; </w:t>
      </w:r>
      <w:proofErr w:type="spellStart"/>
      <w:r w:rsidRPr="00A7366B">
        <w:rPr>
          <w:rFonts w:ascii="Times New Roman" w:eastAsia="Times New Roman" w:hAnsi="Times New Roman" w:cs="Times New Roman"/>
          <w:sz w:val="24"/>
          <w:szCs w:val="24"/>
          <w:lang w:val="en-GB"/>
        </w:rPr>
        <w:t>Alkire</w:t>
      </w:r>
      <w:proofErr w:type="spellEnd"/>
      <w:r w:rsidRPr="00A7366B">
        <w:rPr>
          <w:rFonts w:ascii="Times New Roman" w:eastAsia="Times New Roman" w:hAnsi="Times New Roman" w:cs="Times New Roman"/>
          <w:sz w:val="24"/>
          <w:szCs w:val="24"/>
          <w:lang w:val="en-GB"/>
        </w:rPr>
        <w:t xml:space="preserve">, Sabina (eds.) (2008). </w:t>
      </w:r>
      <w:r w:rsidRPr="00A7366B">
        <w:rPr>
          <w:rFonts w:ascii="Times New Roman" w:eastAsia="Times New Roman" w:hAnsi="Times New Roman" w:cs="Times New Roman"/>
          <w:i/>
          <w:sz w:val="24"/>
          <w:szCs w:val="24"/>
          <w:lang w:val="en-GB"/>
        </w:rPr>
        <w:t>The Capability Approach: Concepts, Measures and Applications</w:t>
      </w:r>
      <w:r w:rsidRPr="00A7366B">
        <w:rPr>
          <w:rFonts w:ascii="Times New Roman" w:eastAsia="Times New Roman" w:hAnsi="Times New Roman" w:cs="Times New Roman"/>
          <w:sz w:val="24"/>
          <w:szCs w:val="24"/>
          <w:lang w:val="en-GB"/>
        </w:rPr>
        <w:t>. (pp. 157-200). Cambridge University Press.</w:t>
      </w:r>
    </w:p>
    <w:p w14:paraId="00000081"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Cummins, Robert A. (1996). The Domains of Life Satisfaction: An Attempt to Order Chaos. </w:t>
      </w:r>
      <w:r w:rsidRPr="00A7366B">
        <w:rPr>
          <w:rFonts w:ascii="Times New Roman" w:eastAsia="Times New Roman" w:hAnsi="Times New Roman" w:cs="Times New Roman"/>
          <w:i/>
          <w:sz w:val="24"/>
          <w:szCs w:val="24"/>
          <w:lang w:val="en-GB"/>
        </w:rPr>
        <w:t>Social Indicators Research</w:t>
      </w:r>
      <w:r w:rsidRPr="00A7366B">
        <w:rPr>
          <w:rFonts w:ascii="Times New Roman" w:eastAsia="Times New Roman" w:hAnsi="Times New Roman" w:cs="Times New Roman"/>
          <w:sz w:val="24"/>
          <w:szCs w:val="24"/>
          <w:lang w:val="en-GB"/>
        </w:rPr>
        <w:t xml:space="preserve">. 38/3: 303-28. https://doi.org/10.1007/BF00292050 </w:t>
      </w:r>
    </w:p>
    <w:p w14:paraId="00000082"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Cook-Sather, A. (2006). Sound, presence, and power: Exploring “student voice” in educational research and reform. </w:t>
      </w:r>
      <w:r w:rsidRPr="00A7366B">
        <w:rPr>
          <w:rFonts w:ascii="Times New Roman" w:eastAsia="Times New Roman" w:hAnsi="Times New Roman" w:cs="Times New Roman"/>
          <w:i/>
          <w:sz w:val="24"/>
          <w:szCs w:val="24"/>
          <w:lang w:val="en-GB"/>
        </w:rPr>
        <w:t>Curriculum Inquiry</w:t>
      </w:r>
      <w:r w:rsidRPr="00A7366B">
        <w:rPr>
          <w:rFonts w:ascii="Times New Roman" w:eastAsia="Times New Roman" w:hAnsi="Times New Roman" w:cs="Times New Roman"/>
          <w:sz w:val="24"/>
          <w:szCs w:val="24"/>
          <w:lang w:val="en-GB"/>
        </w:rPr>
        <w:t>, 36(4), 359-390</w:t>
      </w:r>
    </w:p>
    <w:p w14:paraId="00000083"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Cook-Sather, Allison &amp; Alia Luz (2015). Greater engagement in and responsibility for learning: what happens when students cross the threshold of student–faculty partnership, </w:t>
      </w:r>
      <w:r w:rsidRPr="00A7366B">
        <w:rPr>
          <w:rFonts w:ascii="Times New Roman" w:eastAsia="Times New Roman" w:hAnsi="Times New Roman" w:cs="Times New Roman"/>
          <w:i/>
          <w:sz w:val="24"/>
          <w:szCs w:val="24"/>
          <w:lang w:val="en-GB"/>
        </w:rPr>
        <w:t>Higher Education Research &amp; Development</w:t>
      </w:r>
      <w:r w:rsidRPr="00A7366B">
        <w:rPr>
          <w:rFonts w:ascii="Times New Roman" w:eastAsia="Times New Roman" w:hAnsi="Times New Roman" w:cs="Times New Roman"/>
          <w:sz w:val="24"/>
          <w:szCs w:val="24"/>
          <w:lang w:val="en-GB"/>
        </w:rPr>
        <w:t>, 34:6, 1097-1109, DOI: 10.1080/07294360.2014.911263</w:t>
      </w:r>
    </w:p>
    <w:p w14:paraId="00000084"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Cook-Sather, Alison &amp; Matthews, Kelly &amp; </w:t>
      </w:r>
      <w:proofErr w:type="spellStart"/>
      <w:r w:rsidRPr="00A7366B">
        <w:rPr>
          <w:rFonts w:ascii="Times New Roman" w:eastAsia="Times New Roman" w:hAnsi="Times New Roman" w:cs="Times New Roman"/>
          <w:sz w:val="24"/>
          <w:szCs w:val="24"/>
          <w:lang w:val="en-GB"/>
        </w:rPr>
        <w:t>Ntem</w:t>
      </w:r>
      <w:proofErr w:type="spellEnd"/>
      <w:r w:rsidRPr="00A7366B">
        <w:rPr>
          <w:rFonts w:ascii="Times New Roman" w:eastAsia="Times New Roman" w:hAnsi="Times New Roman" w:cs="Times New Roman"/>
          <w:sz w:val="24"/>
          <w:szCs w:val="24"/>
          <w:lang w:val="en-GB"/>
        </w:rPr>
        <w:t xml:space="preserve">, Anita &amp; </w:t>
      </w:r>
      <w:proofErr w:type="spellStart"/>
      <w:r w:rsidRPr="00A7366B">
        <w:rPr>
          <w:rFonts w:ascii="Times New Roman" w:eastAsia="Times New Roman" w:hAnsi="Times New Roman" w:cs="Times New Roman"/>
          <w:sz w:val="24"/>
          <w:szCs w:val="24"/>
          <w:lang w:val="en-GB"/>
        </w:rPr>
        <w:t>Leathwick</w:t>
      </w:r>
      <w:proofErr w:type="spellEnd"/>
      <w:r w:rsidRPr="00A7366B">
        <w:rPr>
          <w:rFonts w:ascii="Times New Roman" w:eastAsia="Times New Roman" w:hAnsi="Times New Roman" w:cs="Times New Roman"/>
          <w:sz w:val="24"/>
          <w:szCs w:val="24"/>
          <w:lang w:val="en-GB"/>
        </w:rPr>
        <w:t xml:space="preserve">, Sandra. (2018). What we talk about when we talk about Students as Partners. </w:t>
      </w:r>
      <w:r w:rsidRPr="00A7366B">
        <w:rPr>
          <w:rFonts w:ascii="Times New Roman" w:eastAsia="Times New Roman" w:hAnsi="Times New Roman" w:cs="Times New Roman"/>
          <w:i/>
          <w:sz w:val="24"/>
          <w:szCs w:val="24"/>
          <w:lang w:val="en-GB"/>
        </w:rPr>
        <w:t>International Journal for Students as Partners</w:t>
      </w:r>
      <w:r w:rsidRPr="00A7366B">
        <w:rPr>
          <w:rFonts w:ascii="Times New Roman" w:eastAsia="Times New Roman" w:hAnsi="Times New Roman" w:cs="Times New Roman"/>
          <w:sz w:val="24"/>
          <w:szCs w:val="24"/>
          <w:lang w:val="en-GB"/>
        </w:rPr>
        <w:t xml:space="preserve"> 2, 1-9. 10.15173/</w:t>
      </w:r>
      <w:proofErr w:type="gramStart"/>
      <w:r w:rsidRPr="00A7366B">
        <w:rPr>
          <w:rFonts w:ascii="Times New Roman" w:eastAsia="Times New Roman" w:hAnsi="Times New Roman" w:cs="Times New Roman"/>
          <w:sz w:val="24"/>
          <w:szCs w:val="24"/>
          <w:lang w:val="en-GB"/>
        </w:rPr>
        <w:t>ijsap.v</w:t>
      </w:r>
      <w:proofErr w:type="gramEnd"/>
      <w:r w:rsidRPr="00A7366B">
        <w:rPr>
          <w:rFonts w:ascii="Times New Roman" w:eastAsia="Times New Roman" w:hAnsi="Times New Roman" w:cs="Times New Roman"/>
          <w:sz w:val="24"/>
          <w:szCs w:val="24"/>
          <w:lang w:val="en-GB"/>
        </w:rPr>
        <w:t>2i2.3790.</w:t>
      </w:r>
    </w:p>
    <w:p w14:paraId="00000085"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Deci, E. L., &amp; Ryan, R. M. (2017). </w:t>
      </w:r>
      <w:r w:rsidRPr="00A7366B">
        <w:rPr>
          <w:rFonts w:ascii="Times New Roman" w:eastAsia="Times New Roman" w:hAnsi="Times New Roman" w:cs="Times New Roman"/>
          <w:i/>
          <w:sz w:val="24"/>
          <w:szCs w:val="24"/>
          <w:lang w:val="en-GB"/>
        </w:rPr>
        <w:t>Self-determination theory: basic psychological needs in motivation, development, and wellness</w:t>
      </w:r>
      <w:r w:rsidRPr="00A7366B">
        <w:rPr>
          <w:rFonts w:ascii="Times New Roman" w:eastAsia="Times New Roman" w:hAnsi="Times New Roman" w:cs="Times New Roman"/>
          <w:sz w:val="24"/>
          <w:szCs w:val="24"/>
          <w:lang w:val="en-GB"/>
        </w:rPr>
        <w:t>. New York: The Guilford Press</w:t>
      </w:r>
    </w:p>
    <w:p w14:paraId="00000086"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proofErr w:type="spellStart"/>
      <w:r w:rsidRPr="00A7366B">
        <w:rPr>
          <w:rFonts w:ascii="Times New Roman" w:eastAsia="Times New Roman" w:hAnsi="Times New Roman" w:cs="Times New Roman"/>
          <w:sz w:val="24"/>
          <w:szCs w:val="24"/>
          <w:lang w:val="en-GB"/>
        </w:rPr>
        <w:t>Drèze</w:t>
      </w:r>
      <w:proofErr w:type="spellEnd"/>
      <w:r w:rsidRPr="00A7366B">
        <w:rPr>
          <w:rFonts w:ascii="Times New Roman" w:eastAsia="Times New Roman" w:hAnsi="Times New Roman" w:cs="Times New Roman"/>
          <w:sz w:val="24"/>
          <w:szCs w:val="24"/>
          <w:lang w:val="en-GB"/>
        </w:rPr>
        <w:t xml:space="preserve">, J., &amp; Sen, A. (2013). </w:t>
      </w:r>
      <w:r w:rsidRPr="00A7366B">
        <w:rPr>
          <w:rFonts w:ascii="Times New Roman" w:eastAsia="Times New Roman" w:hAnsi="Times New Roman" w:cs="Times New Roman"/>
          <w:i/>
          <w:sz w:val="24"/>
          <w:szCs w:val="24"/>
          <w:lang w:val="en-GB"/>
        </w:rPr>
        <w:t>An uncertain glory. India and its contradictions</w:t>
      </w:r>
      <w:r w:rsidRPr="00A7366B">
        <w:rPr>
          <w:rFonts w:ascii="Times New Roman" w:eastAsia="Times New Roman" w:hAnsi="Times New Roman" w:cs="Times New Roman"/>
          <w:sz w:val="24"/>
          <w:szCs w:val="24"/>
          <w:lang w:val="en-GB"/>
        </w:rPr>
        <w:t xml:space="preserve">. Princeton, NJ: Princeton University Press. https://doi.org/10.23943/9781400848775 </w:t>
      </w:r>
    </w:p>
    <w:p w14:paraId="00000087"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Duckworth, A. L., Peterson, C., Matthews, M. D., &amp; Kelly, D. R. (2007). Grit: Perseverance and passion for long-term goals. </w:t>
      </w:r>
      <w:r w:rsidRPr="00A7366B">
        <w:rPr>
          <w:rFonts w:ascii="Times New Roman" w:eastAsia="Times New Roman" w:hAnsi="Times New Roman" w:cs="Times New Roman"/>
          <w:i/>
          <w:sz w:val="24"/>
          <w:szCs w:val="24"/>
          <w:lang w:val="en-GB"/>
        </w:rPr>
        <w:t>Journal of Personality and Social Psychology,</w:t>
      </w:r>
      <w:r w:rsidRPr="00A7366B">
        <w:rPr>
          <w:rFonts w:ascii="Times New Roman" w:eastAsia="Times New Roman" w:hAnsi="Times New Roman" w:cs="Times New Roman"/>
          <w:sz w:val="24"/>
          <w:szCs w:val="24"/>
          <w:lang w:val="en-GB"/>
        </w:rPr>
        <w:t xml:space="preserve"> 92(6), 1087–1101. https://doi.org/10.1037/0022-3514.92.6.1087</w:t>
      </w:r>
    </w:p>
    <w:p w14:paraId="00000088"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proofErr w:type="spellStart"/>
      <w:r w:rsidRPr="00A7366B">
        <w:rPr>
          <w:rFonts w:ascii="Times New Roman" w:eastAsia="Times New Roman" w:hAnsi="Times New Roman" w:cs="Times New Roman"/>
          <w:sz w:val="24"/>
          <w:szCs w:val="24"/>
          <w:lang w:val="en-GB"/>
        </w:rPr>
        <w:t>Emirbayer</w:t>
      </w:r>
      <w:proofErr w:type="spellEnd"/>
      <w:r w:rsidRPr="00A7366B">
        <w:rPr>
          <w:rFonts w:ascii="Times New Roman" w:eastAsia="Times New Roman" w:hAnsi="Times New Roman" w:cs="Times New Roman"/>
          <w:sz w:val="24"/>
          <w:szCs w:val="24"/>
          <w:lang w:val="en-GB"/>
        </w:rPr>
        <w:t xml:space="preserve"> M. &amp; </w:t>
      </w:r>
      <w:proofErr w:type="spellStart"/>
      <w:r w:rsidRPr="00A7366B">
        <w:rPr>
          <w:rFonts w:ascii="Times New Roman" w:eastAsia="Times New Roman" w:hAnsi="Times New Roman" w:cs="Times New Roman"/>
          <w:sz w:val="24"/>
          <w:szCs w:val="24"/>
          <w:lang w:val="en-GB"/>
        </w:rPr>
        <w:t>Mische</w:t>
      </w:r>
      <w:proofErr w:type="spellEnd"/>
      <w:r w:rsidRPr="00A7366B">
        <w:rPr>
          <w:rFonts w:ascii="Times New Roman" w:eastAsia="Times New Roman" w:hAnsi="Times New Roman" w:cs="Times New Roman"/>
          <w:sz w:val="24"/>
          <w:szCs w:val="24"/>
          <w:lang w:val="en-GB"/>
        </w:rPr>
        <w:t xml:space="preserve"> A. (1998). What is agency? </w:t>
      </w:r>
      <w:r w:rsidRPr="00A7366B">
        <w:rPr>
          <w:rFonts w:ascii="Times New Roman" w:eastAsia="Times New Roman" w:hAnsi="Times New Roman" w:cs="Times New Roman"/>
          <w:i/>
          <w:sz w:val="24"/>
          <w:szCs w:val="24"/>
          <w:lang w:val="en-GB"/>
        </w:rPr>
        <w:t>American Journal of Sociology</w:t>
      </w:r>
      <w:r w:rsidRPr="00A7366B">
        <w:rPr>
          <w:rFonts w:ascii="Times New Roman" w:eastAsia="Times New Roman" w:hAnsi="Times New Roman" w:cs="Times New Roman"/>
          <w:sz w:val="24"/>
          <w:szCs w:val="24"/>
          <w:lang w:val="en-GB"/>
        </w:rPr>
        <w:t xml:space="preserve"> 103(4), 962-1023. https://doi.org/10.1086/231294    </w:t>
      </w:r>
    </w:p>
    <w:p w14:paraId="00000089" w14:textId="77777777" w:rsidR="00667542" w:rsidRPr="00A7366B" w:rsidRDefault="001C12ED">
      <w:pPr>
        <w:spacing w:after="100"/>
        <w:ind w:left="720" w:hanging="720"/>
        <w:jc w:val="both"/>
        <w:rPr>
          <w:rFonts w:ascii="Times New Roman" w:eastAsia="Times New Roman" w:hAnsi="Times New Roman" w:cs="Times New Roman"/>
          <w:sz w:val="24"/>
          <w:szCs w:val="24"/>
          <w:lang w:val="en-GB"/>
        </w:rPr>
      </w:pPr>
      <w:r w:rsidRPr="00A7366B">
        <w:rPr>
          <w:rFonts w:ascii="Times New Roman" w:eastAsia="Times New Roman" w:hAnsi="Times New Roman" w:cs="Times New Roman"/>
          <w:sz w:val="24"/>
          <w:szCs w:val="24"/>
          <w:lang w:val="en-GB"/>
        </w:rPr>
        <w:t xml:space="preserve">European Commission (2022). </w:t>
      </w:r>
      <w:r w:rsidRPr="00A7366B">
        <w:rPr>
          <w:rFonts w:ascii="Times New Roman" w:eastAsia="Times New Roman" w:hAnsi="Times New Roman" w:cs="Times New Roman"/>
          <w:i/>
          <w:sz w:val="24"/>
          <w:szCs w:val="24"/>
          <w:lang w:val="en-GB"/>
        </w:rPr>
        <w:t>Communication from the Commission to the European Parliament, the Council, the European Economic and Social Committee and the Committee of the Regions on a European strategy for universities</w:t>
      </w:r>
      <w:r w:rsidRPr="00A7366B">
        <w:rPr>
          <w:rFonts w:ascii="Times New Roman" w:eastAsia="Times New Roman" w:hAnsi="Times New Roman" w:cs="Times New Roman"/>
          <w:sz w:val="24"/>
          <w:szCs w:val="24"/>
          <w:lang w:val="en-GB"/>
        </w:rPr>
        <w:t xml:space="preserve">. </w:t>
      </w:r>
      <w:proofErr w:type="gramStart"/>
      <w:r w:rsidRPr="00A7366B">
        <w:rPr>
          <w:rFonts w:ascii="Times New Roman" w:eastAsia="Times New Roman" w:hAnsi="Times New Roman" w:cs="Times New Roman"/>
          <w:sz w:val="24"/>
          <w:szCs w:val="24"/>
          <w:lang w:val="en-GB"/>
        </w:rPr>
        <w:t>COM(</w:t>
      </w:r>
      <w:proofErr w:type="gramEnd"/>
      <w:r w:rsidRPr="00A7366B">
        <w:rPr>
          <w:rFonts w:ascii="Times New Roman" w:eastAsia="Times New Roman" w:hAnsi="Times New Roman" w:cs="Times New Roman"/>
          <w:sz w:val="24"/>
          <w:szCs w:val="24"/>
          <w:lang w:val="en-GB"/>
        </w:rPr>
        <w:t xml:space="preserve">2022) Strasbourg, 18.1.2022, https://education.ec.europa.eu/document/commission-communication-on-a-european-strategy-for-universities </w:t>
      </w:r>
    </w:p>
    <w:p w14:paraId="0000008A" w14:textId="77777777" w:rsidR="00667542" w:rsidRPr="004A1E67" w:rsidRDefault="001C12ED">
      <w:pPr>
        <w:spacing w:after="100"/>
        <w:ind w:left="720" w:hanging="720"/>
        <w:jc w:val="both"/>
        <w:rPr>
          <w:rFonts w:ascii="Times New Roman" w:eastAsia="Times New Roman" w:hAnsi="Times New Roman" w:cs="Times New Roman"/>
          <w:sz w:val="24"/>
          <w:szCs w:val="24"/>
          <w:u w:val="single"/>
          <w:lang w:val="en-GB"/>
        </w:rPr>
      </w:pPr>
      <w:r w:rsidRPr="00A7366B">
        <w:rPr>
          <w:rFonts w:ascii="Times New Roman" w:eastAsia="Times New Roman" w:hAnsi="Times New Roman" w:cs="Times New Roman"/>
          <w:sz w:val="24"/>
          <w:szCs w:val="24"/>
          <w:lang w:val="en-GB"/>
        </w:rPr>
        <w:t xml:space="preserve">European Commission, Directorate-General for Education, Youth, </w:t>
      </w:r>
      <w:proofErr w:type="gramStart"/>
      <w:r w:rsidRPr="00A7366B">
        <w:rPr>
          <w:rFonts w:ascii="Times New Roman" w:eastAsia="Times New Roman" w:hAnsi="Times New Roman" w:cs="Times New Roman"/>
          <w:sz w:val="24"/>
          <w:szCs w:val="24"/>
          <w:lang w:val="en-GB"/>
        </w:rPr>
        <w:t>Sport</w:t>
      </w:r>
      <w:proofErr w:type="gramEnd"/>
      <w:r w:rsidRPr="00A7366B">
        <w:rPr>
          <w:rFonts w:ascii="Times New Roman" w:eastAsia="Times New Roman" w:hAnsi="Times New Roman" w:cs="Times New Roman"/>
          <w:sz w:val="24"/>
          <w:szCs w:val="24"/>
          <w:lang w:val="en-GB"/>
        </w:rPr>
        <w:t xml:space="preserve"> and Culture, </w:t>
      </w:r>
      <w:proofErr w:type="spellStart"/>
      <w:r w:rsidRPr="00A7366B">
        <w:rPr>
          <w:rFonts w:ascii="Times New Roman" w:eastAsia="Times New Roman" w:hAnsi="Times New Roman" w:cs="Times New Roman"/>
          <w:sz w:val="24"/>
          <w:szCs w:val="24"/>
          <w:lang w:val="en-GB"/>
        </w:rPr>
        <w:t>Pupinis</w:t>
      </w:r>
      <w:proofErr w:type="spellEnd"/>
      <w:r w:rsidRPr="00A7366B">
        <w:rPr>
          <w:rFonts w:ascii="Times New Roman" w:eastAsia="Times New Roman" w:hAnsi="Times New Roman" w:cs="Times New Roman"/>
          <w:sz w:val="24"/>
          <w:szCs w:val="24"/>
          <w:lang w:val="en-GB"/>
        </w:rPr>
        <w:t xml:space="preserve">, M., </w:t>
      </w:r>
      <w:proofErr w:type="spellStart"/>
      <w:r w:rsidRPr="00A7366B">
        <w:rPr>
          <w:rFonts w:ascii="Times New Roman" w:eastAsia="Times New Roman" w:hAnsi="Times New Roman" w:cs="Times New Roman"/>
          <w:sz w:val="24"/>
          <w:szCs w:val="24"/>
          <w:lang w:val="en-GB"/>
        </w:rPr>
        <w:t>Kirdulytė</w:t>
      </w:r>
      <w:proofErr w:type="spellEnd"/>
      <w:r w:rsidRPr="00A7366B">
        <w:rPr>
          <w:rFonts w:ascii="Times New Roman" w:eastAsia="Times New Roman" w:hAnsi="Times New Roman" w:cs="Times New Roman"/>
          <w:sz w:val="24"/>
          <w:szCs w:val="24"/>
          <w:lang w:val="en-GB"/>
        </w:rPr>
        <w:t xml:space="preserve">, G., </w:t>
      </w:r>
      <w:proofErr w:type="spellStart"/>
      <w:r w:rsidRPr="00A7366B">
        <w:rPr>
          <w:rFonts w:ascii="Times New Roman" w:eastAsia="Times New Roman" w:hAnsi="Times New Roman" w:cs="Times New Roman"/>
          <w:sz w:val="24"/>
          <w:szCs w:val="24"/>
          <w:lang w:val="en-GB"/>
        </w:rPr>
        <w:t>Klemenčič</w:t>
      </w:r>
      <w:proofErr w:type="spellEnd"/>
      <w:r w:rsidRPr="00A7366B">
        <w:rPr>
          <w:rFonts w:ascii="Times New Roman" w:eastAsia="Times New Roman" w:hAnsi="Times New Roman" w:cs="Times New Roman"/>
          <w:sz w:val="24"/>
          <w:szCs w:val="24"/>
          <w:lang w:val="en-GB"/>
        </w:rPr>
        <w:t xml:space="preserve">, M., (2020). </w:t>
      </w:r>
      <w:r w:rsidRPr="00A7366B">
        <w:rPr>
          <w:rFonts w:ascii="Times New Roman" w:eastAsia="Times New Roman" w:hAnsi="Times New Roman" w:cs="Times New Roman"/>
          <w:i/>
          <w:sz w:val="24"/>
          <w:szCs w:val="24"/>
          <w:lang w:val="en-GB"/>
        </w:rPr>
        <w:t>Mapping and analysis of student centred learning and teaching practices: usable knowledge to support more inclusive, high-quality higher education: analytical report</w:t>
      </w:r>
      <w:r w:rsidRPr="00A7366B">
        <w:rPr>
          <w:rFonts w:ascii="Times New Roman" w:eastAsia="Times New Roman" w:hAnsi="Times New Roman" w:cs="Times New Roman"/>
          <w:sz w:val="24"/>
          <w:szCs w:val="24"/>
          <w:lang w:val="en-GB"/>
        </w:rPr>
        <w:t>, Publications Office, 2020,</w:t>
      </w:r>
      <w:hyperlink r:id="rId7">
        <w:r w:rsidRPr="00A7366B">
          <w:rPr>
            <w:rFonts w:ascii="Times New Roman" w:eastAsia="Times New Roman" w:hAnsi="Times New Roman" w:cs="Times New Roman"/>
            <w:sz w:val="24"/>
            <w:szCs w:val="24"/>
            <w:lang w:val="en-GB"/>
          </w:rPr>
          <w:t xml:space="preserve"> </w:t>
        </w:r>
      </w:hyperlink>
      <w:hyperlink r:id="rId8">
        <w:r w:rsidRPr="004A1E67">
          <w:rPr>
            <w:rFonts w:ascii="Times New Roman" w:eastAsia="Times New Roman" w:hAnsi="Times New Roman" w:cs="Times New Roman"/>
            <w:sz w:val="24"/>
            <w:szCs w:val="24"/>
            <w:u w:val="single"/>
            <w:lang w:val="en-GB"/>
          </w:rPr>
          <w:t>https://data.europa.eu/doi/10.2766/67668</w:t>
        </w:r>
      </w:hyperlink>
    </w:p>
    <w:p w14:paraId="0000008B"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lastRenderedPageBreak/>
        <w:t xml:space="preserve">Fielding, M. (2001). Students as radical agents of change. </w:t>
      </w:r>
      <w:r w:rsidRPr="004A1E67">
        <w:rPr>
          <w:rFonts w:ascii="Times New Roman" w:eastAsia="Times New Roman" w:hAnsi="Times New Roman" w:cs="Times New Roman"/>
          <w:i/>
          <w:sz w:val="24"/>
          <w:szCs w:val="24"/>
          <w:lang w:val="en-GB"/>
        </w:rPr>
        <w:t>Journal of Educational Change</w:t>
      </w:r>
      <w:r w:rsidRPr="004A1E67">
        <w:rPr>
          <w:rFonts w:ascii="Times New Roman" w:eastAsia="Times New Roman" w:hAnsi="Times New Roman" w:cs="Times New Roman"/>
          <w:sz w:val="24"/>
          <w:szCs w:val="24"/>
          <w:lang w:val="en-GB"/>
        </w:rPr>
        <w:t>, 2(3), 123-141.</w:t>
      </w:r>
    </w:p>
    <w:p w14:paraId="0000008C"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Fielding, M. (2004). ‘New wave’ student voice and the renewal of civic society. </w:t>
      </w:r>
      <w:r w:rsidRPr="004A1E67">
        <w:rPr>
          <w:rFonts w:ascii="Times New Roman" w:eastAsia="Times New Roman" w:hAnsi="Times New Roman" w:cs="Times New Roman"/>
          <w:i/>
          <w:sz w:val="24"/>
          <w:szCs w:val="24"/>
          <w:lang w:val="en-GB"/>
        </w:rPr>
        <w:t>London Review of Education</w:t>
      </w:r>
      <w:r w:rsidRPr="004A1E67">
        <w:rPr>
          <w:rFonts w:ascii="Times New Roman" w:eastAsia="Times New Roman" w:hAnsi="Times New Roman" w:cs="Times New Roman"/>
          <w:sz w:val="24"/>
          <w:szCs w:val="24"/>
          <w:lang w:val="en-GB"/>
        </w:rPr>
        <w:t>, 2(3), 197-217</w:t>
      </w:r>
    </w:p>
    <w:p w14:paraId="0000008D"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Giddens, A. (1984). </w:t>
      </w:r>
      <w:r w:rsidRPr="004A1E67">
        <w:rPr>
          <w:rFonts w:ascii="Times New Roman" w:eastAsia="Times New Roman" w:hAnsi="Times New Roman" w:cs="Times New Roman"/>
          <w:i/>
          <w:sz w:val="24"/>
          <w:szCs w:val="24"/>
          <w:lang w:val="en-GB"/>
        </w:rPr>
        <w:t>The constitution of society: Outline of the theory of structuration.</w:t>
      </w:r>
      <w:r w:rsidRPr="004A1E67">
        <w:rPr>
          <w:rFonts w:ascii="Times New Roman" w:eastAsia="Times New Roman" w:hAnsi="Times New Roman" w:cs="Times New Roman"/>
          <w:sz w:val="24"/>
          <w:szCs w:val="24"/>
          <w:lang w:val="en-GB"/>
        </w:rPr>
        <w:t xml:space="preserve"> Cambridge: Polity Press.</w:t>
      </w:r>
    </w:p>
    <w:p w14:paraId="0000008E"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Griffiths, Teri-Lisa, Jill Dickinson, Catherine J. Day. (2021). Exploring the relationship between extracurricular activities and student self-efficacy within university. </w:t>
      </w:r>
      <w:r w:rsidRPr="004A1E67">
        <w:rPr>
          <w:rFonts w:ascii="Times New Roman" w:eastAsia="Times New Roman" w:hAnsi="Times New Roman" w:cs="Times New Roman"/>
          <w:i/>
          <w:sz w:val="24"/>
          <w:szCs w:val="24"/>
          <w:lang w:val="en-GB"/>
        </w:rPr>
        <w:t>Journal of Further and Higher Education</w:t>
      </w:r>
      <w:r w:rsidRPr="004A1E67">
        <w:rPr>
          <w:rFonts w:ascii="Times New Roman" w:eastAsia="Times New Roman" w:hAnsi="Times New Roman" w:cs="Times New Roman"/>
          <w:sz w:val="24"/>
          <w:szCs w:val="24"/>
          <w:lang w:val="en-GB"/>
        </w:rPr>
        <w:t xml:space="preserve"> 45:9: 1294-1309</w:t>
      </w:r>
    </w:p>
    <w:p w14:paraId="0000008F"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Gumport</w:t>
      </w:r>
      <w:proofErr w:type="spellEnd"/>
      <w:r w:rsidRPr="004A1E67">
        <w:rPr>
          <w:rFonts w:ascii="Times New Roman" w:eastAsia="Times New Roman" w:hAnsi="Times New Roman" w:cs="Times New Roman"/>
          <w:sz w:val="24"/>
          <w:szCs w:val="24"/>
          <w:lang w:val="en-GB"/>
        </w:rPr>
        <w:t xml:space="preserve">, P. J. (2012). Strategic Thinking in Higher Education Research. In M. </w:t>
      </w:r>
      <w:proofErr w:type="spellStart"/>
      <w:r w:rsidRPr="004A1E67">
        <w:rPr>
          <w:rFonts w:ascii="Times New Roman" w:eastAsia="Times New Roman" w:hAnsi="Times New Roman" w:cs="Times New Roman"/>
          <w:sz w:val="24"/>
          <w:szCs w:val="24"/>
          <w:lang w:val="en-GB"/>
        </w:rPr>
        <w:t>Bastedo</w:t>
      </w:r>
      <w:proofErr w:type="spellEnd"/>
      <w:r w:rsidRPr="004A1E67">
        <w:rPr>
          <w:rFonts w:ascii="Times New Roman" w:eastAsia="Times New Roman" w:hAnsi="Times New Roman" w:cs="Times New Roman"/>
          <w:sz w:val="24"/>
          <w:szCs w:val="24"/>
          <w:lang w:val="en-GB"/>
        </w:rPr>
        <w:t xml:space="preserve"> (ed.) </w:t>
      </w:r>
      <w:r w:rsidRPr="004A1E67">
        <w:rPr>
          <w:rFonts w:ascii="Times New Roman" w:eastAsia="Times New Roman" w:hAnsi="Times New Roman" w:cs="Times New Roman"/>
          <w:i/>
          <w:sz w:val="24"/>
          <w:szCs w:val="24"/>
          <w:lang w:val="en-GB"/>
        </w:rPr>
        <w:t>The Organization of Higher Education: Managing Colleges for a New Era</w:t>
      </w:r>
      <w:r w:rsidRPr="004A1E67">
        <w:rPr>
          <w:rFonts w:ascii="Times New Roman" w:eastAsia="Times New Roman" w:hAnsi="Times New Roman" w:cs="Times New Roman"/>
          <w:sz w:val="24"/>
          <w:szCs w:val="24"/>
          <w:lang w:val="en-GB"/>
        </w:rPr>
        <w:t>. (pp.18-41). Baltimore, MD: Johns Hopkins University Press.</w:t>
      </w:r>
    </w:p>
    <w:p w14:paraId="00000090"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Gurin</w:t>
      </w:r>
      <w:proofErr w:type="spellEnd"/>
      <w:r w:rsidRPr="004A1E67">
        <w:rPr>
          <w:rFonts w:ascii="Times New Roman" w:eastAsia="Times New Roman" w:hAnsi="Times New Roman" w:cs="Times New Roman"/>
          <w:sz w:val="24"/>
          <w:szCs w:val="24"/>
          <w:lang w:val="en-GB"/>
        </w:rPr>
        <w:t xml:space="preserve">, Patricia, Eric Dey, Sylvia Hurtado, and Gerald </w:t>
      </w:r>
      <w:proofErr w:type="spellStart"/>
      <w:r w:rsidRPr="004A1E67">
        <w:rPr>
          <w:rFonts w:ascii="Times New Roman" w:eastAsia="Times New Roman" w:hAnsi="Times New Roman" w:cs="Times New Roman"/>
          <w:sz w:val="24"/>
          <w:szCs w:val="24"/>
          <w:lang w:val="en-GB"/>
        </w:rPr>
        <w:t>Gurin</w:t>
      </w:r>
      <w:proofErr w:type="spellEnd"/>
      <w:r w:rsidRPr="004A1E67">
        <w:rPr>
          <w:rFonts w:ascii="Times New Roman" w:eastAsia="Times New Roman" w:hAnsi="Times New Roman" w:cs="Times New Roman"/>
          <w:sz w:val="24"/>
          <w:szCs w:val="24"/>
          <w:lang w:val="en-GB"/>
        </w:rPr>
        <w:t xml:space="preserve"> (2002). Diversity and Higher Education: Theory and Impact on Educational Outcomes. </w:t>
      </w:r>
      <w:r w:rsidRPr="004A1E67">
        <w:rPr>
          <w:rFonts w:ascii="Times New Roman" w:eastAsia="Times New Roman" w:hAnsi="Times New Roman" w:cs="Times New Roman"/>
          <w:i/>
          <w:sz w:val="24"/>
          <w:szCs w:val="24"/>
          <w:lang w:val="en-GB"/>
        </w:rPr>
        <w:t>Harvard Educational Review</w:t>
      </w:r>
      <w:r w:rsidRPr="004A1E67">
        <w:rPr>
          <w:rFonts w:ascii="Times New Roman" w:eastAsia="Times New Roman" w:hAnsi="Times New Roman" w:cs="Times New Roman"/>
          <w:sz w:val="24"/>
          <w:szCs w:val="24"/>
          <w:lang w:val="en-GB"/>
        </w:rPr>
        <w:t>: September 2002, Vol. 72, No. 3, pp. 330-367.</w:t>
      </w:r>
    </w:p>
    <w:p w14:paraId="00000091"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highlight w:val="white"/>
          <w:lang w:val="en-GB"/>
        </w:rPr>
        <w:t xml:space="preserve">Hall, P., &amp; Lamont, M. (2009). Introduction. In P. Hall &amp; M. Lamont (Eds.). </w:t>
      </w:r>
      <w:r w:rsidRPr="004A1E67">
        <w:rPr>
          <w:rFonts w:ascii="Times New Roman" w:eastAsia="Times New Roman" w:hAnsi="Times New Roman" w:cs="Times New Roman"/>
          <w:i/>
          <w:sz w:val="24"/>
          <w:szCs w:val="24"/>
          <w:highlight w:val="white"/>
          <w:lang w:val="en-GB"/>
        </w:rPr>
        <w:t>Successful Societies: How Institutions and Culture Affect Health</w:t>
      </w:r>
      <w:r w:rsidRPr="004A1E67">
        <w:rPr>
          <w:rFonts w:ascii="Times New Roman" w:eastAsia="Times New Roman" w:hAnsi="Times New Roman" w:cs="Times New Roman"/>
          <w:sz w:val="24"/>
          <w:szCs w:val="24"/>
          <w:highlight w:val="white"/>
          <w:lang w:val="en-GB"/>
        </w:rPr>
        <w:t xml:space="preserve"> (pp. 1-22). Cambridge: Cambridge University Press. doi:10.1017/CBO9780511816192.002</w:t>
      </w:r>
    </w:p>
    <w:p w14:paraId="00000092"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Healey, M., Flint, A., &amp; Harrington, K. (2014). Engagement through partnership: Students as partners in learning and teaching in higher education. York: Higher Education Academy. https://www.heacademy.ac.uk/system/files/resources/engagement_through_partnership.pdf </w:t>
      </w:r>
    </w:p>
    <w:p w14:paraId="00000093"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Hurtado, S. (2007). The Study of College Impact. In </w:t>
      </w:r>
      <w:proofErr w:type="spellStart"/>
      <w:r w:rsidRPr="004A1E67">
        <w:rPr>
          <w:rFonts w:ascii="Times New Roman" w:eastAsia="Times New Roman" w:hAnsi="Times New Roman" w:cs="Times New Roman"/>
          <w:sz w:val="24"/>
          <w:szCs w:val="24"/>
          <w:lang w:val="en-GB"/>
        </w:rPr>
        <w:t>Gumport</w:t>
      </w:r>
      <w:proofErr w:type="spellEnd"/>
      <w:r w:rsidRPr="004A1E67">
        <w:rPr>
          <w:rFonts w:ascii="Times New Roman" w:eastAsia="Times New Roman" w:hAnsi="Times New Roman" w:cs="Times New Roman"/>
          <w:sz w:val="24"/>
          <w:szCs w:val="24"/>
          <w:lang w:val="en-GB"/>
        </w:rPr>
        <w:t xml:space="preserve">, P. (ed.) </w:t>
      </w:r>
      <w:r w:rsidRPr="004A1E67">
        <w:rPr>
          <w:rFonts w:ascii="Times New Roman" w:eastAsia="Times New Roman" w:hAnsi="Times New Roman" w:cs="Times New Roman"/>
          <w:i/>
          <w:sz w:val="24"/>
          <w:szCs w:val="24"/>
          <w:lang w:val="en-GB"/>
        </w:rPr>
        <w:t>Sociology of Higher Education</w:t>
      </w:r>
      <w:r w:rsidRPr="004A1E67">
        <w:rPr>
          <w:rFonts w:ascii="Times New Roman" w:eastAsia="Times New Roman" w:hAnsi="Times New Roman" w:cs="Times New Roman"/>
          <w:sz w:val="24"/>
          <w:szCs w:val="24"/>
          <w:lang w:val="en-GB"/>
        </w:rPr>
        <w:t xml:space="preserve">. (94-112) Baltimore: John Hopkins University Press. </w:t>
      </w:r>
    </w:p>
    <w:p w14:paraId="00000094"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Hurtado, S., Alvarez, C. L., Guillermo-</w:t>
      </w:r>
      <w:proofErr w:type="spellStart"/>
      <w:r w:rsidRPr="004A1E67">
        <w:rPr>
          <w:rFonts w:ascii="Times New Roman" w:eastAsia="Times New Roman" w:hAnsi="Times New Roman" w:cs="Times New Roman"/>
          <w:sz w:val="24"/>
          <w:szCs w:val="24"/>
          <w:lang w:val="en-GB"/>
        </w:rPr>
        <w:t>Wann</w:t>
      </w:r>
      <w:proofErr w:type="spellEnd"/>
      <w:r w:rsidRPr="004A1E67">
        <w:rPr>
          <w:rFonts w:ascii="Times New Roman" w:eastAsia="Times New Roman" w:hAnsi="Times New Roman" w:cs="Times New Roman"/>
          <w:sz w:val="24"/>
          <w:szCs w:val="24"/>
          <w:lang w:val="en-GB"/>
        </w:rPr>
        <w:t>, C, Cuellar, M., &amp; Arellano, L. (2012). A model for diverse learning environments: The scholarship on creating and assessing conditions for student success. In J.C. Smart, &amp; M.B. Paulsen (Eds.) Higher Education: Handbook of Theory and Research, 27. New York: Springer.</w:t>
      </w:r>
    </w:p>
    <w:p w14:paraId="00000095"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Hurtado, S., &amp; Ruiz, A. (2012). The climate for underrepresented groups and diversity on campus. Los Angeles, CA: Higher Education Research Institute.</w:t>
      </w:r>
    </w:p>
    <w:p w14:paraId="00000096"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Jääskelä</w:t>
      </w:r>
      <w:proofErr w:type="spellEnd"/>
      <w:r w:rsidRPr="004A1E67">
        <w:rPr>
          <w:rFonts w:ascii="Times New Roman" w:eastAsia="Times New Roman" w:hAnsi="Times New Roman" w:cs="Times New Roman"/>
          <w:sz w:val="24"/>
          <w:szCs w:val="24"/>
          <w:lang w:val="en-GB"/>
        </w:rPr>
        <w:t xml:space="preserve">, P., A. M. </w:t>
      </w:r>
      <w:proofErr w:type="spellStart"/>
      <w:r w:rsidRPr="004A1E67">
        <w:rPr>
          <w:rFonts w:ascii="Times New Roman" w:eastAsia="Times New Roman" w:hAnsi="Times New Roman" w:cs="Times New Roman"/>
          <w:sz w:val="24"/>
          <w:szCs w:val="24"/>
          <w:lang w:val="en-GB"/>
        </w:rPr>
        <w:t>Poikkeus</w:t>
      </w:r>
      <w:proofErr w:type="spellEnd"/>
      <w:r w:rsidRPr="004A1E67">
        <w:rPr>
          <w:rFonts w:ascii="Times New Roman" w:eastAsia="Times New Roman" w:hAnsi="Times New Roman" w:cs="Times New Roman"/>
          <w:sz w:val="24"/>
          <w:szCs w:val="24"/>
          <w:lang w:val="en-GB"/>
        </w:rPr>
        <w:t xml:space="preserve">, K. </w:t>
      </w:r>
      <w:proofErr w:type="spellStart"/>
      <w:r w:rsidRPr="004A1E67">
        <w:rPr>
          <w:rFonts w:ascii="Times New Roman" w:eastAsia="Times New Roman" w:hAnsi="Times New Roman" w:cs="Times New Roman"/>
          <w:sz w:val="24"/>
          <w:szCs w:val="24"/>
          <w:lang w:val="en-GB"/>
        </w:rPr>
        <w:t>Vasalampi</w:t>
      </w:r>
      <w:proofErr w:type="spellEnd"/>
      <w:r w:rsidRPr="004A1E67">
        <w:rPr>
          <w:rFonts w:ascii="Times New Roman" w:eastAsia="Times New Roman" w:hAnsi="Times New Roman" w:cs="Times New Roman"/>
          <w:sz w:val="24"/>
          <w:szCs w:val="24"/>
          <w:lang w:val="en-GB"/>
        </w:rPr>
        <w:t xml:space="preserve">, U. M. </w:t>
      </w:r>
      <w:proofErr w:type="spellStart"/>
      <w:r w:rsidRPr="004A1E67">
        <w:rPr>
          <w:rFonts w:ascii="Times New Roman" w:eastAsia="Times New Roman" w:hAnsi="Times New Roman" w:cs="Times New Roman"/>
          <w:sz w:val="24"/>
          <w:szCs w:val="24"/>
          <w:lang w:val="en-GB"/>
        </w:rPr>
        <w:t>Valleala</w:t>
      </w:r>
      <w:proofErr w:type="spellEnd"/>
      <w:r w:rsidRPr="004A1E67">
        <w:rPr>
          <w:rFonts w:ascii="Times New Roman" w:eastAsia="Times New Roman" w:hAnsi="Times New Roman" w:cs="Times New Roman"/>
          <w:sz w:val="24"/>
          <w:szCs w:val="24"/>
          <w:lang w:val="en-GB"/>
        </w:rPr>
        <w:t xml:space="preserve">, and H. </w:t>
      </w:r>
      <w:proofErr w:type="spellStart"/>
      <w:r w:rsidRPr="004A1E67">
        <w:rPr>
          <w:rFonts w:ascii="Times New Roman" w:eastAsia="Times New Roman" w:hAnsi="Times New Roman" w:cs="Times New Roman"/>
          <w:sz w:val="24"/>
          <w:szCs w:val="24"/>
          <w:lang w:val="en-GB"/>
        </w:rPr>
        <w:t>Rasku-Puttonen</w:t>
      </w:r>
      <w:proofErr w:type="spellEnd"/>
      <w:r w:rsidRPr="004A1E67">
        <w:rPr>
          <w:rFonts w:ascii="Times New Roman" w:eastAsia="Times New Roman" w:hAnsi="Times New Roman" w:cs="Times New Roman"/>
          <w:sz w:val="24"/>
          <w:szCs w:val="24"/>
          <w:lang w:val="en-GB"/>
        </w:rPr>
        <w:t xml:space="preserve"> (2016). Assessing Agency of University Students: Validation of the AUS Scale. </w:t>
      </w:r>
      <w:r w:rsidRPr="004A1E67">
        <w:rPr>
          <w:rFonts w:ascii="Times New Roman" w:eastAsia="Times New Roman" w:hAnsi="Times New Roman" w:cs="Times New Roman"/>
          <w:i/>
          <w:sz w:val="24"/>
          <w:szCs w:val="24"/>
          <w:lang w:val="en-GB"/>
        </w:rPr>
        <w:t>Studies in Higher Education</w:t>
      </w:r>
      <w:r w:rsidRPr="004A1E67">
        <w:rPr>
          <w:rFonts w:ascii="Times New Roman" w:eastAsia="Times New Roman" w:hAnsi="Times New Roman" w:cs="Times New Roman"/>
          <w:sz w:val="24"/>
          <w:szCs w:val="24"/>
          <w:lang w:val="en-GB"/>
        </w:rPr>
        <w:t xml:space="preserve">: 1-19. Advance online publications. https://doi.org/10.1080/03075079.2015.1130693   </w:t>
      </w:r>
    </w:p>
    <w:p w14:paraId="00000097"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Jääskelä</w:t>
      </w:r>
      <w:proofErr w:type="spellEnd"/>
      <w:r w:rsidRPr="004A1E67">
        <w:rPr>
          <w:rFonts w:ascii="Times New Roman" w:eastAsia="Times New Roman" w:hAnsi="Times New Roman" w:cs="Times New Roman"/>
          <w:sz w:val="24"/>
          <w:szCs w:val="24"/>
          <w:lang w:val="en-GB"/>
        </w:rPr>
        <w:t xml:space="preserve">, P., A.-M. </w:t>
      </w:r>
      <w:proofErr w:type="spellStart"/>
      <w:r w:rsidRPr="004A1E67">
        <w:rPr>
          <w:rFonts w:ascii="Times New Roman" w:eastAsia="Times New Roman" w:hAnsi="Times New Roman" w:cs="Times New Roman"/>
          <w:sz w:val="24"/>
          <w:szCs w:val="24"/>
          <w:lang w:val="en-GB"/>
        </w:rPr>
        <w:t>Poikkeus</w:t>
      </w:r>
      <w:proofErr w:type="spellEnd"/>
      <w:r w:rsidRPr="004A1E67">
        <w:rPr>
          <w:rFonts w:ascii="Times New Roman" w:eastAsia="Times New Roman" w:hAnsi="Times New Roman" w:cs="Times New Roman"/>
          <w:sz w:val="24"/>
          <w:szCs w:val="24"/>
          <w:lang w:val="en-GB"/>
        </w:rPr>
        <w:t xml:space="preserve">, P. </w:t>
      </w:r>
      <w:proofErr w:type="spellStart"/>
      <w:r w:rsidRPr="004A1E67">
        <w:rPr>
          <w:rFonts w:ascii="Times New Roman" w:eastAsia="Times New Roman" w:hAnsi="Times New Roman" w:cs="Times New Roman"/>
          <w:sz w:val="24"/>
          <w:szCs w:val="24"/>
          <w:lang w:val="en-GB"/>
        </w:rPr>
        <w:t>Häkkinen</w:t>
      </w:r>
      <w:proofErr w:type="spellEnd"/>
      <w:r w:rsidRPr="004A1E67">
        <w:rPr>
          <w:rFonts w:ascii="Times New Roman" w:eastAsia="Times New Roman" w:hAnsi="Times New Roman" w:cs="Times New Roman"/>
          <w:sz w:val="24"/>
          <w:szCs w:val="24"/>
          <w:lang w:val="en-GB"/>
        </w:rPr>
        <w:t xml:space="preserve">, K. </w:t>
      </w:r>
      <w:proofErr w:type="spellStart"/>
      <w:r w:rsidRPr="004A1E67">
        <w:rPr>
          <w:rFonts w:ascii="Times New Roman" w:eastAsia="Times New Roman" w:hAnsi="Times New Roman" w:cs="Times New Roman"/>
          <w:sz w:val="24"/>
          <w:szCs w:val="24"/>
          <w:lang w:val="en-GB"/>
        </w:rPr>
        <w:t>Vasalampi</w:t>
      </w:r>
      <w:proofErr w:type="spellEnd"/>
      <w:r w:rsidRPr="004A1E67">
        <w:rPr>
          <w:rFonts w:ascii="Times New Roman" w:eastAsia="Times New Roman" w:hAnsi="Times New Roman" w:cs="Times New Roman"/>
          <w:sz w:val="24"/>
          <w:szCs w:val="24"/>
          <w:lang w:val="en-GB"/>
        </w:rPr>
        <w:t xml:space="preserve">, H. </w:t>
      </w:r>
      <w:proofErr w:type="spellStart"/>
      <w:r w:rsidRPr="004A1E67">
        <w:rPr>
          <w:rFonts w:ascii="Times New Roman" w:eastAsia="Times New Roman" w:hAnsi="Times New Roman" w:cs="Times New Roman"/>
          <w:sz w:val="24"/>
          <w:szCs w:val="24"/>
          <w:lang w:val="en-GB"/>
        </w:rPr>
        <w:t>Rasku-Puttonen</w:t>
      </w:r>
      <w:proofErr w:type="spellEnd"/>
      <w:r w:rsidRPr="004A1E67">
        <w:rPr>
          <w:rFonts w:ascii="Times New Roman" w:eastAsia="Times New Roman" w:hAnsi="Times New Roman" w:cs="Times New Roman"/>
          <w:sz w:val="24"/>
          <w:szCs w:val="24"/>
          <w:lang w:val="en-GB"/>
        </w:rPr>
        <w:t xml:space="preserve">, and A. </w:t>
      </w:r>
      <w:proofErr w:type="spellStart"/>
      <w:r w:rsidRPr="004A1E67">
        <w:rPr>
          <w:rFonts w:ascii="Times New Roman" w:eastAsia="Times New Roman" w:hAnsi="Times New Roman" w:cs="Times New Roman"/>
          <w:sz w:val="24"/>
          <w:szCs w:val="24"/>
          <w:lang w:val="en-GB"/>
        </w:rPr>
        <w:t>Tolvanen</w:t>
      </w:r>
      <w:proofErr w:type="spellEnd"/>
      <w:r w:rsidRPr="004A1E67">
        <w:rPr>
          <w:rFonts w:ascii="Times New Roman" w:eastAsia="Times New Roman" w:hAnsi="Times New Roman" w:cs="Times New Roman"/>
          <w:sz w:val="24"/>
          <w:szCs w:val="24"/>
          <w:lang w:val="en-GB"/>
        </w:rPr>
        <w:t xml:space="preserve"> (2020a). Students' Agency Profiles in Relation to Student-Perceived Teaching Practices in </w:t>
      </w:r>
      <w:r w:rsidRPr="004A1E67">
        <w:rPr>
          <w:rFonts w:ascii="Times New Roman" w:eastAsia="Times New Roman" w:hAnsi="Times New Roman" w:cs="Times New Roman"/>
          <w:sz w:val="24"/>
          <w:szCs w:val="24"/>
          <w:lang w:val="en-GB"/>
        </w:rPr>
        <w:lastRenderedPageBreak/>
        <w:t xml:space="preserve">University Courses. </w:t>
      </w:r>
      <w:r w:rsidRPr="004A1E67">
        <w:rPr>
          <w:rFonts w:ascii="Times New Roman" w:eastAsia="Times New Roman" w:hAnsi="Times New Roman" w:cs="Times New Roman"/>
          <w:i/>
          <w:sz w:val="24"/>
          <w:szCs w:val="24"/>
          <w:lang w:val="en-GB"/>
        </w:rPr>
        <w:t>International Journal of Educational Research</w:t>
      </w:r>
      <w:r w:rsidRPr="004A1E67">
        <w:rPr>
          <w:rFonts w:ascii="Times New Roman" w:eastAsia="Times New Roman" w:hAnsi="Times New Roman" w:cs="Times New Roman"/>
          <w:sz w:val="24"/>
          <w:szCs w:val="24"/>
          <w:lang w:val="en-GB"/>
        </w:rPr>
        <w:t xml:space="preserve"> 103: 101604. https://doi.org/10.1016/j.ijer.2020.101604 </w:t>
      </w:r>
    </w:p>
    <w:p w14:paraId="00000098"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Jääskelä</w:t>
      </w:r>
      <w:proofErr w:type="spellEnd"/>
      <w:r w:rsidRPr="004A1E67">
        <w:rPr>
          <w:rFonts w:ascii="Times New Roman" w:eastAsia="Times New Roman" w:hAnsi="Times New Roman" w:cs="Times New Roman"/>
          <w:sz w:val="24"/>
          <w:szCs w:val="24"/>
          <w:lang w:val="en-GB"/>
        </w:rPr>
        <w:t xml:space="preserve">, P., V. </w:t>
      </w:r>
      <w:proofErr w:type="spellStart"/>
      <w:r w:rsidRPr="004A1E67">
        <w:rPr>
          <w:rFonts w:ascii="Times New Roman" w:eastAsia="Times New Roman" w:hAnsi="Times New Roman" w:cs="Times New Roman"/>
          <w:sz w:val="24"/>
          <w:szCs w:val="24"/>
          <w:lang w:val="en-GB"/>
        </w:rPr>
        <w:t>Heilala</w:t>
      </w:r>
      <w:proofErr w:type="spellEnd"/>
      <w:r w:rsidRPr="004A1E67">
        <w:rPr>
          <w:rFonts w:ascii="Times New Roman" w:eastAsia="Times New Roman" w:hAnsi="Times New Roman" w:cs="Times New Roman"/>
          <w:sz w:val="24"/>
          <w:szCs w:val="24"/>
          <w:lang w:val="en-GB"/>
        </w:rPr>
        <w:t xml:space="preserve">, T. </w:t>
      </w:r>
      <w:proofErr w:type="spellStart"/>
      <w:r w:rsidRPr="004A1E67">
        <w:rPr>
          <w:rFonts w:ascii="Times New Roman" w:eastAsia="Times New Roman" w:hAnsi="Times New Roman" w:cs="Times New Roman"/>
          <w:sz w:val="24"/>
          <w:szCs w:val="24"/>
          <w:lang w:val="en-GB"/>
        </w:rPr>
        <w:t>Kärkkäinen</w:t>
      </w:r>
      <w:proofErr w:type="spellEnd"/>
      <w:r w:rsidRPr="004A1E67">
        <w:rPr>
          <w:rFonts w:ascii="Times New Roman" w:eastAsia="Times New Roman" w:hAnsi="Times New Roman" w:cs="Times New Roman"/>
          <w:sz w:val="24"/>
          <w:szCs w:val="24"/>
          <w:lang w:val="en-GB"/>
        </w:rPr>
        <w:t xml:space="preserve">, and P. </w:t>
      </w:r>
      <w:proofErr w:type="spellStart"/>
      <w:r w:rsidRPr="004A1E67">
        <w:rPr>
          <w:rFonts w:ascii="Times New Roman" w:eastAsia="Times New Roman" w:hAnsi="Times New Roman" w:cs="Times New Roman"/>
          <w:sz w:val="24"/>
          <w:szCs w:val="24"/>
          <w:lang w:val="en-GB"/>
        </w:rPr>
        <w:t>Häkkinen</w:t>
      </w:r>
      <w:proofErr w:type="spellEnd"/>
      <w:r w:rsidRPr="004A1E67">
        <w:rPr>
          <w:rFonts w:ascii="Times New Roman" w:eastAsia="Times New Roman" w:hAnsi="Times New Roman" w:cs="Times New Roman"/>
          <w:sz w:val="24"/>
          <w:szCs w:val="24"/>
          <w:lang w:val="en-GB"/>
        </w:rPr>
        <w:t xml:space="preserve"> (2020b). Student Agency Analytics: Learning Analytics as a Tool for Analysing Student Agency in Higher Education. </w:t>
      </w:r>
      <w:r w:rsidRPr="004A1E67">
        <w:rPr>
          <w:rFonts w:ascii="Times New Roman" w:eastAsia="Times New Roman" w:hAnsi="Times New Roman" w:cs="Times New Roman"/>
          <w:i/>
          <w:sz w:val="24"/>
          <w:szCs w:val="24"/>
          <w:lang w:val="en-GB"/>
        </w:rPr>
        <w:t>Behaviour &amp; Information Technology</w:t>
      </w:r>
      <w:r w:rsidRPr="004A1E67">
        <w:rPr>
          <w:rFonts w:ascii="Times New Roman" w:eastAsia="Times New Roman" w:hAnsi="Times New Roman" w:cs="Times New Roman"/>
          <w:sz w:val="24"/>
          <w:szCs w:val="24"/>
          <w:lang w:val="en-GB"/>
        </w:rPr>
        <w:t xml:space="preserve">, 40 (8): 790-808. https://doi.org/10.1080/0144929X.2020.1725130 </w:t>
      </w:r>
    </w:p>
    <w:p w14:paraId="00000099"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Kahn, Peter E. (2017) The flourishing and dehumanization of students in higher education, </w:t>
      </w:r>
      <w:r w:rsidRPr="004A1E67">
        <w:rPr>
          <w:rFonts w:ascii="Times New Roman" w:eastAsia="Times New Roman" w:hAnsi="Times New Roman" w:cs="Times New Roman"/>
          <w:i/>
          <w:sz w:val="24"/>
          <w:szCs w:val="24"/>
          <w:lang w:val="en-GB"/>
        </w:rPr>
        <w:t>Journal of Critical Realism</w:t>
      </w:r>
      <w:r w:rsidRPr="004A1E67">
        <w:rPr>
          <w:rFonts w:ascii="Times New Roman" w:eastAsia="Times New Roman" w:hAnsi="Times New Roman" w:cs="Times New Roman"/>
          <w:sz w:val="24"/>
          <w:szCs w:val="24"/>
          <w:lang w:val="en-GB"/>
        </w:rPr>
        <w:t>, 16:4, 368-382, DOI: 10.1080/14767430.2017.1347444</w:t>
      </w:r>
    </w:p>
    <w:p w14:paraId="0000009A"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Kahu E. R. (2013). Framing student engagement in higher education. </w:t>
      </w:r>
      <w:r w:rsidRPr="004A1E67">
        <w:rPr>
          <w:rFonts w:ascii="Times New Roman" w:eastAsia="Times New Roman" w:hAnsi="Times New Roman" w:cs="Times New Roman"/>
          <w:i/>
          <w:sz w:val="24"/>
          <w:szCs w:val="24"/>
          <w:lang w:val="en-GB"/>
        </w:rPr>
        <w:t>Studies in Higher Education</w:t>
      </w:r>
      <w:r w:rsidRPr="004A1E67">
        <w:rPr>
          <w:rFonts w:ascii="Times New Roman" w:eastAsia="Times New Roman" w:hAnsi="Times New Roman" w:cs="Times New Roman"/>
          <w:sz w:val="24"/>
          <w:szCs w:val="24"/>
          <w:lang w:val="en-GB"/>
        </w:rPr>
        <w:t>, 38:5, 758-773, DOI: 10.1080/03075079.2011.598505</w:t>
      </w:r>
    </w:p>
    <w:p w14:paraId="0000009B" w14:textId="77777777" w:rsidR="00667542" w:rsidRPr="004A1E67" w:rsidRDefault="001C12ED">
      <w:pPr>
        <w:spacing w:after="100"/>
        <w:ind w:left="720" w:hanging="720"/>
        <w:jc w:val="both"/>
        <w:rPr>
          <w:rFonts w:ascii="Times New Roman" w:eastAsia="Times New Roman" w:hAnsi="Times New Roman" w:cs="Times New Roman"/>
          <w:i/>
          <w:sz w:val="24"/>
          <w:szCs w:val="24"/>
          <w:lang w:val="en-GB"/>
        </w:rPr>
      </w:pPr>
      <w:proofErr w:type="spellStart"/>
      <w:r w:rsidRPr="004A1E67">
        <w:rPr>
          <w:rFonts w:ascii="Times New Roman" w:eastAsia="Times New Roman" w:hAnsi="Times New Roman" w:cs="Times New Roman"/>
          <w:sz w:val="24"/>
          <w:szCs w:val="24"/>
          <w:lang w:val="en-GB"/>
        </w:rPr>
        <w:t>Klemenčič</w:t>
      </w:r>
      <w:proofErr w:type="spellEnd"/>
      <w:r w:rsidRPr="004A1E67">
        <w:rPr>
          <w:rFonts w:ascii="Times New Roman" w:eastAsia="Times New Roman" w:hAnsi="Times New Roman" w:cs="Times New Roman"/>
          <w:sz w:val="24"/>
          <w:szCs w:val="24"/>
          <w:lang w:val="en-GB"/>
        </w:rPr>
        <w:t xml:space="preserve">, M. (forthcoming). A Theory of Student Impact on Higher Education. In J. Conner (ed.) </w:t>
      </w:r>
      <w:r w:rsidRPr="004A1E67">
        <w:rPr>
          <w:rFonts w:ascii="Times New Roman" w:eastAsia="Times New Roman" w:hAnsi="Times New Roman" w:cs="Times New Roman"/>
          <w:i/>
          <w:sz w:val="24"/>
          <w:szCs w:val="24"/>
          <w:lang w:val="en-GB"/>
        </w:rPr>
        <w:t>The Bloomsbury International Handbook of Student Voice in Higher Education.</w:t>
      </w:r>
    </w:p>
    <w:p w14:paraId="0000009C" w14:textId="77777777" w:rsidR="00667542" w:rsidRPr="004A1E67" w:rsidRDefault="001C12ED">
      <w:pPr>
        <w:spacing w:after="100"/>
        <w:ind w:left="720" w:hanging="720"/>
        <w:jc w:val="both"/>
        <w:rPr>
          <w:rFonts w:ascii="Times New Roman" w:eastAsia="Times New Roman" w:hAnsi="Times New Roman" w:cs="Times New Roman"/>
          <w:sz w:val="24"/>
          <w:szCs w:val="24"/>
          <w:u w:val="single"/>
          <w:lang w:val="en-GB"/>
        </w:rPr>
      </w:pPr>
      <w:proofErr w:type="spellStart"/>
      <w:r w:rsidRPr="004A1E67">
        <w:rPr>
          <w:rFonts w:ascii="Times New Roman" w:eastAsia="Times New Roman" w:hAnsi="Times New Roman" w:cs="Times New Roman"/>
          <w:sz w:val="24"/>
          <w:szCs w:val="24"/>
          <w:lang w:val="en-GB"/>
        </w:rPr>
        <w:t>Klemenčič</w:t>
      </w:r>
      <w:proofErr w:type="spellEnd"/>
      <w:r w:rsidRPr="004A1E67">
        <w:rPr>
          <w:rFonts w:ascii="Times New Roman" w:eastAsia="Times New Roman" w:hAnsi="Times New Roman" w:cs="Times New Roman"/>
          <w:sz w:val="24"/>
          <w:szCs w:val="24"/>
          <w:lang w:val="en-GB"/>
        </w:rPr>
        <w:t>, M. (2020). Students as Actors and Agents in Student-</w:t>
      </w:r>
      <w:proofErr w:type="spellStart"/>
      <w:r w:rsidRPr="004A1E67">
        <w:rPr>
          <w:rFonts w:ascii="Times New Roman" w:eastAsia="Times New Roman" w:hAnsi="Times New Roman" w:cs="Times New Roman"/>
          <w:sz w:val="24"/>
          <w:szCs w:val="24"/>
          <w:lang w:val="en-GB"/>
        </w:rPr>
        <w:t>Centered</w:t>
      </w:r>
      <w:proofErr w:type="spellEnd"/>
      <w:r w:rsidRPr="004A1E67">
        <w:rPr>
          <w:rFonts w:ascii="Times New Roman" w:eastAsia="Times New Roman" w:hAnsi="Times New Roman" w:cs="Times New Roman"/>
          <w:sz w:val="24"/>
          <w:szCs w:val="24"/>
          <w:lang w:val="en-GB"/>
        </w:rPr>
        <w:t xml:space="preserve"> Higher Education. In Sabine </w:t>
      </w:r>
      <w:proofErr w:type="spellStart"/>
      <w:r w:rsidRPr="004A1E67">
        <w:rPr>
          <w:rFonts w:ascii="Times New Roman" w:eastAsia="Times New Roman" w:hAnsi="Times New Roman" w:cs="Times New Roman"/>
          <w:sz w:val="24"/>
          <w:szCs w:val="24"/>
          <w:lang w:val="en-GB"/>
        </w:rPr>
        <w:t>Hoidn</w:t>
      </w:r>
      <w:proofErr w:type="spellEnd"/>
      <w:r w:rsidRPr="004A1E67">
        <w:rPr>
          <w:rFonts w:ascii="Times New Roman" w:eastAsia="Times New Roman" w:hAnsi="Times New Roman" w:cs="Times New Roman"/>
          <w:sz w:val="24"/>
          <w:szCs w:val="24"/>
          <w:lang w:val="en-GB"/>
        </w:rPr>
        <w:t xml:space="preserve"> and Manja </w:t>
      </w:r>
      <w:proofErr w:type="spellStart"/>
      <w:r w:rsidRPr="004A1E67">
        <w:rPr>
          <w:rFonts w:ascii="Times New Roman" w:eastAsia="Times New Roman" w:hAnsi="Times New Roman" w:cs="Times New Roman"/>
          <w:sz w:val="24"/>
          <w:szCs w:val="24"/>
          <w:lang w:val="en-GB"/>
        </w:rPr>
        <w:t>Klemenčič</w:t>
      </w:r>
      <w:proofErr w:type="spellEnd"/>
      <w:r w:rsidRPr="004A1E67">
        <w:rPr>
          <w:rFonts w:ascii="Times New Roman" w:eastAsia="Times New Roman" w:hAnsi="Times New Roman" w:cs="Times New Roman"/>
          <w:sz w:val="24"/>
          <w:szCs w:val="24"/>
          <w:lang w:val="en-GB"/>
        </w:rPr>
        <w:t xml:space="preserve"> (eds.) </w:t>
      </w:r>
      <w:r w:rsidRPr="004A1E67">
        <w:rPr>
          <w:rFonts w:ascii="Times New Roman" w:eastAsia="Times New Roman" w:hAnsi="Times New Roman" w:cs="Times New Roman"/>
          <w:i/>
          <w:sz w:val="24"/>
          <w:szCs w:val="24"/>
          <w:lang w:val="en-GB"/>
        </w:rPr>
        <w:t>Routledge International Handbook on Student-</w:t>
      </w:r>
      <w:proofErr w:type="spellStart"/>
      <w:r w:rsidRPr="004A1E67">
        <w:rPr>
          <w:rFonts w:ascii="Times New Roman" w:eastAsia="Times New Roman" w:hAnsi="Times New Roman" w:cs="Times New Roman"/>
          <w:i/>
          <w:sz w:val="24"/>
          <w:szCs w:val="24"/>
          <w:lang w:val="en-GB"/>
        </w:rPr>
        <w:t>Centered</w:t>
      </w:r>
      <w:proofErr w:type="spellEnd"/>
      <w:r w:rsidRPr="004A1E67">
        <w:rPr>
          <w:rFonts w:ascii="Times New Roman" w:eastAsia="Times New Roman" w:hAnsi="Times New Roman" w:cs="Times New Roman"/>
          <w:i/>
          <w:sz w:val="24"/>
          <w:szCs w:val="24"/>
          <w:lang w:val="en-GB"/>
        </w:rPr>
        <w:t xml:space="preserve"> Learning and Teaching in Higher Education </w:t>
      </w:r>
      <w:r w:rsidRPr="004A1E67">
        <w:rPr>
          <w:rFonts w:ascii="Times New Roman" w:eastAsia="Times New Roman" w:hAnsi="Times New Roman" w:cs="Times New Roman"/>
          <w:sz w:val="24"/>
          <w:szCs w:val="24"/>
          <w:lang w:val="en-GB"/>
        </w:rPr>
        <w:t>(Routledge) https://doi.org/10.4324/9780429259371-7</w:t>
      </w:r>
    </w:p>
    <w:p w14:paraId="0000009D"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Klemenčič</w:t>
      </w:r>
      <w:proofErr w:type="spellEnd"/>
      <w:r w:rsidRPr="004A1E67">
        <w:rPr>
          <w:rFonts w:ascii="Times New Roman" w:eastAsia="Times New Roman" w:hAnsi="Times New Roman" w:cs="Times New Roman"/>
          <w:sz w:val="24"/>
          <w:szCs w:val="24"/>
          <w:lang w:val="en-GB"/>
        </w:rPr>
        <w:t xml:space="preserve">, M. (2018). The student voice in quality assessment and improvement. In Ellen </w:t>
      </w:r>
      <w:proofErr w:type="spellStart"/>
      <w:r w:rsidRPr="004A1E67">
        <w:rPr>
          <w:rFonts w:ascii="Times New Roman" w:eastAsia="Times New Roman" w:hAnsi="Times New Roman" w:cs="Times New Roman"/>
          <w:sz w:val="24"/>
          <w:szCs w:val="24"/>
          <w:lang w:val="en-GB"/>
        </w:rPr>
        <w:t>Hazelkorn</w:t>
      </w:r>
      <w:proofErr w:type="spellEnd"/>
      <w:r w:rsidRPr="004A1E67">
        <w:rPr>
          <w:rFonts w:ascii="Times New Roman" w:eastAsia="Times New Roman" w:hAnsi="Times New Roman" w:cs="Times New Roman"/>
          <w:sz w:val="24"/>
          <w:szCs w:val="24"/>
          <w:lang w:val="en-GB"/>
        </w:rPr>
        <w:t xml:space="preserve">, Hamish </w:t>
      </w:r>
      <w:proofErr w:type="gramStart"/>
      <w:r w:rsidRPr="004A1E67">
        <w:rPr>
          <w:rFonts w:ascii="Times New Roman" w:eastAsia="Times New Roman" w:hAnsi="Times New Roman" w:cs="Times New Roman"/>
          <w:sz w:val="24"/>
          <w:szCs w:val="24"/>
          <w:lang w:val="en-GB"/>
        </w:rPr>
        <w:t>Coates</w:t>
      </w:r>
      <w:proofErr w:type="gramEnd"/>
      <w:r w:rsidRPr="004A1E67">
        <w:rPr>
          <w:rFonts w:ascii="Times New Roman" w:eastAsia="Times New Roman" w:hAnsi="Times New Roman" w:cs="Times New Roman"/>
          <w:sz w:val="24"/>
          <w:szCs w:val="24"/>
          <w:lang w:val="en-GB"/>
        </w:rPr>
        <w:t xml:space="preserve"> and Alex McCormick (eds.) </w:t>
      </w:r>
      <w:r w:rsidRPr="004A1E67">
        <w:rPr>
          <w:rFonts w:ascii="Times New Roman" w:eastAsia="Times New Roman" w:hAnsi="Times New Roman" w:cs="Times New Roman"/>
          <w:i/>
          <w:sz w:val="24"/>
          <w:szCs w:val="24"/>
          <w:lang w:val="en-GB"/>
        </w:rPr>
        <w:t>Research Handbook on Quality, Performance and Accountability in Higher Education</w:t>
      </w:r>
      <w:r w:rsidRPr="004A1E67">
        <w:rPr>
          <w:rFonts w:ascii="Times New Roman" w:eastAsia="Times New Roman" w:hAnsi="Times New Roman" w:cs="Times New Roman"/>
          <w:sz w:val="24"/>
          <w:szCs w:val="24"/>
          <w:lang w:val="en-GB"/>
        </w:rPr>
        <w:t>, pp. 332-343 (Edward Elgar Publishing)</w:t>
      </w:r>
    </w:p>
    <w:p w14:paraId="0000009E"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Klemenčič</w:t>
      </w:r>
      <w:proofErr w:type="spellEnd"/>
      <w:r w:rsidRPr="004A1E67">
        <w:rPr>
          <w:rFonts w:ascii="Times New Roman" w:eastAsia="Times New Roman" w:hAnsi="Times New Roman" w:cs="Times New Roman"/>
          <w:sz w:val="24"/>
          <w:szCs w:val="24"/>
          <w:lang w:val="en-GB"/>
        </w:rPr>
        <w:t>, M. (2017). From student engagement to student agency: conceptual considerations of European policies on student-</w:t>
      </w:r>
      <w:proofErr w:type="spellStart"/>
      <w:r w:rsidRPr="004A1E67">
        <w:rPr>
          <w:rFonts w:ascii="Times New Roman" w:eastAsia="Times New Roman" w:hAnsi="Times New Roman" w:cs="Times New Roman"/>
          <w:sz w:val="24"/>
          <w:szCs w:val="24"/>
          <w:lang w:val="en-GB"/>
        </w:rPr>
        <w:t>centered</w:t>
      </w:r>
      <w:proofErr w:type="spellEnd"/>
      <w:r w:rsidRPr="004A1E67">
        <w:rPr>
          <w:rFonts w:ascii="Times New Roman" w:eastAsia="Times New Roman" w:hAnsi="Times New Roman" w:cs="Times New Roman"/>
          <w:sz w:val="24"/>
          <w:szCs w:val="24"/>
          <w:lang w:val="en-GB"/>
        </w:rPr>
        <w:t xml:space="preserve"> learning in higher education. </w:t>
      </w:r>
      <w:r w:rsidRPr="004A1E67">
        <w:rPr>
          <w:rFonts w:ascii="Times New Roman" w:eastAsia="Times New Roman" w:hAnsi="Times New Roman" w:cs="Times New Roman"/>
          <w:i/>
          <w:sz w:val="24"/>
          <w:szCs w:val="24"/>
          <w:lang w:val="en-GB"/>
        </w:rPr>
        <w:t>Higher Education Policy</w:t>
      </w:r>
      <w:r w:rsidRPr="004A1E67">
        <w:rPr>
          <w:rFonts w:ascii="Times New Roman" w:eastAsia="Times New Roman" w:hAnsi="Times New Roman" w:cs="Times New Roman"/>
          <w:sz w:val="24"/>
          <w:szCs w:val="24"/>
          <w:lang w:val="en-GB"/>
        </w:rPr>
        <w:t xml:space="preserve"> 30 (1): 69-85 https://doi.org/10.1057/s41307-016-0034-4 </w:t>
      </w:r>
    </w:p>
    <w:p w14:paraId="0000009F" w14:textId="77777777" w:rsidR="00667542" w:rsidRPr="004A1E67" w:rsidRDefault="001C12ED">
      <w:pPr>
        <w:spacing w:after="100"/>
        <w:ind w:left="360" w:hanging="54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Klemenčič</w:t>
      </w:r>
      <w:proofErr w:type="spellEnd"/>
      <w:r w:rsidRPr="004A1E67">
        <w:rPr>
          <w:rFonts w:ascii="Times New Roman" w:eastAsia="Times New Roman" w:hAnsi="Times New Roman" w:cs="Times New Roman"/>
          <w:sz w:val="24"/>
          <w:szCs w:val="24"/>
          <w:lang w:val="en-GB"/>
        </w:rPr>
        <w:t xml:space="preserve">, M. (2015a). What is student agency? An ontological exploration in the context of research on student engagement. In </w:t>
      </w:r>
      <w:proofErr w:type="spellStart"/>
      <w:r w:rsidRPr="004A1E67">
        <w:rPr>
          <w:rFonts w:ascii="Times New Roman" w:eastAsia="Times New Roman" w:hAnsi="Times New Roman" w:cs="Times New Roman"/>
          <w:sz w:val="24"/>
          <w:szCs w:val="24"/>
          <w:lang w:val="en-GB"/>
        </w:rPr>
        <w:t>Klemenčič</w:t>
      </w:r>
      <w:proofErr w:type="spellEnd"/>
      <w:r w:rsidRPr="004A1E67">
        <w:rPr>
          <w:rFonts w:ascii="Times New Roman" w:eastAsia="Times New Roman" w:hAnsi="Times New Roman" w:cs="Times New Roman"/>
          <w:sz w:val="24"/>
          <w:szCs w:val="24"/>
          <w:lang w:val="en-GB"/>
        </w:rPr>
        <w:t xml:space="preserve">, M., Bergan, S., </w:t>
      </w:r>
      <w:proofErr w:type="spellStart"/>
      <w:r w:rsidRPr="004A1E67">
        <w:rPr>
          <w:rFonts w:ascii="Times New Roman" w:eastAsia="Times New Roman" w:hAnsi="Times New Roman" w:cs="Times New Roman"/>
          <w:sz w:val="24"/>
          <w:szCs w:val="24"/>
          <w:lang w:val="en-GB"/>
        </w:rPr>
        <w:t>Primožič</w:t>
      </w:r>
      <w:proofErr w:type="spellEnd"/>
      <w:r w:rsidRPr="004A1E67">
        <w:rPr>
          <w:rFonts w:ascii="Times New Roman" w:eastAsia="Times New Roman" w:hAnsi="Times New Roman" w:cs="Times New Roman"/>
          <w:sz w:val="24"/>
          <w:szCs w:val="24"/>
          <w:lang w:val="en-GB"/>
        </w:rPr>
        <w:t xml:space="preserve">, R. (eds.) </w:t>
      </w:r>
      <w:r w:rsidRPr="004A1E67">
        <w:rPr>
          <w:rFonts w:ascii="Times New Roman" w:eastAsia="Times New Roman" w:hAnsi="Times New Roman" w:cs="Times New Roman"/>
          <w:i/>
          <w:sz w:val="24"/>
          <w:szCs w:val="24"/>
          <w:lang w:val="en-GB"/>
        </w:rPr>
        <w:t>Student engagement in Europe: society, higher education, and student governance.</w:t>
      </w:r>
      <w:r w:rsidRPr="004A1E67">
        <w:rPr>
          <w:rFonts w:ascii="Times New Roman" w:eastAsia="Times New Roman" w:hAnsi="Times New Roman" w:cs="Times New Roman"/>
          <w:sz w:val="24"/>
          <w:szCs w:val="24"/>
          <w:lang w:val="en-GB"/>
        </w:rPr>
        <w:t xml:space="preserve"> Council of Europe Higher Education Series No. 20 (pp. 11-29. Strasbourg: Council of Europe Publishing https://book.coe.int/en/higher-education-and-research/6479-student-engagement-in-europe-society-higher-education-and-student-governance-council-of-europe-higher-education-series-no-20.html  </w:t>
      </w:r>
    </w:p>
    <w:p w14:paraId="000000A0" w14:textId="77777777" w:rsidR="00667542" w:rsidRPr="004A1E67" w:rsidRDefault="001C12ED">
      <w:pPr>
        <w:spacing w:after="100"/>
        <w:ind w:left="360" w:hanging="540"/>
        <w:jc w:val="both"/>
        <w:rPr>
          <w:rFonts w:ascii="Times New Roman" w:eastAsia="Times New Roman" w:hAnsi="Times New Roman" w:cs="Times New Roman"/>
          <w:sz w:val="24"/>
          <w:szCs w:val="24"/>
          <w:u w:val="single"/>
          <w:lang w:val="en-GB"/>
        </w:rPr>
      </w:pPr>
      <w:proofErr w:type="spellStart"/>
      <w:r w:rsidRPr="004A1E67">
        <w:rPr>
          <w:rFonts w:ascii="Times New Roman" w:eastAsia="Times New Roman" w:hAnsi="Times New Roman" w:cs="Times New Roman"/>
          <w:sz w:val="24"/>
          <w:szCs w:val="24"/>
          <w:lang w:val="en-GB"/>
        </w:rPr>
        <w:t>Klemenčič</w:t>
      </w:r>
      <w:proofErr w:type="spellEnd"/>
      <w:r w:rsidRPr="004A1E67">
        <w:rPr>
          <w:rFonts w:ascii="Times New Roman" w:eastAsia="Times New Roman" w:hAnsi="Times New Roman" w:cs="Times New Roman"/>
          <w:sz w:val="24"/>
          <w:szCs w:val="24"/>
          <w:lang w:val="en-GB"/>
        </w:rPr>
        <w:t xml:space="preserve">, M. (2015b). Student involvement in quality enhancement. In Jeroen Huisman, Harry de Boer, David </w:t>
      </w:r>
      <w:proofErr w:type="gramStart"/>
      <w:r w:rsidRPr="004A1E67">
        <w:rPr>
          <w:rFonts w:ascii="Times New Roman" w:eastAsia="Times New Roman" w:hAnsi="Times New Roman" w:cs="Times New Roman"/>
          <w:sz w:val="24"/>
          <w:szCs w:val="24"/>
          <w:lang w:val="en-GB"/>
        </w:rPr>
        <w:t>Dill</w:t>
      </w:r>
      <w:proofErr w:type="gramEnd"/>
      <w:r w:rsidRPr="004A1E67">
        <w:rPr>
          <w:rFonts w:ascii="Times New Roman" w:eastAsia="Times New Roman" w:hAnsi="Times New Roman" w:cs="Times New Roman"/>
          <w:sz w:val="24"/>
          <w:szCs w:val="24"/>
          <w:lang w:val="en-GB"/>
        </w:rPr>
        <w:t xml:space="preserve"> and Manuel </w:t>
      </w:r>
      <w:proofErr w:type="spellStart"/>
      <w:r w:rsidRPr="004A1E67">
        <w:rPr>
          <w:rFonts w:ascii="Times New Roman" w:eastAsia="Times New Roman" w:hAnsi="Times New Roman" w:cs="Times New Roman"/>
          <w:sz w:val="24"/>
          <w:szCs w:val="24"/>
          <w:lang w:val="en-GB"/>
        </w:rPr>
        <w:t>Souto</w:t>
      </w:r>
      <w:proofErr w:type="spellEnd"/>
      <w:r w:rsidRPr="004A1E67">
        <w:rPr>
          <w:rFonts w:ascii="Times New Roman" w:eastAsia="Times New Roman" w:hAnsi="Times New Roman" w:cs="Times New Roman"/>
          <w:sz w:val="24"/>
          <w:szCs w:val="24"/>
          <w:lang w:val="en-GB"/>
        </w:rPr>
        <w:t xml:space="preserve">-Otero (eds.) </w:t>
      </w:r>
      <w:r w:rsidRPr="004A1E67">
        <w:rPr>
          <w:rFonts w:ascii="Times New Roman" w:eastAsia="Times New Roman" w:hAnsi="Times New Roman" w:cs="Times New Roman"/>
          <w:i/>
          <w:sz w:val="24"/>
          <w:szCs w:val="24"/>
          <w:lang w:val="en-GB"/>
        </w:rPr>
        <w:t>The Handbook of Higher Education Policy and Governance</w:t>
      </w:r>
      <w:r w:rsidRPr="004A1E67">
        <w:rPr>
          <w:rFonts w:ascii="Times New Roman" w:eastAsia="Times New Roman" w:hAnsi="Times New Roman" w:cs="Times New Roman"/>
          <w:sz w:val="24"/>
          <w:szCs w:val="24"/>
          <w:lang w:val="en-GB"/>
        </w:rPr>
        <w:t>, pp. 526-543 (Palgrave Macmillan) https://doi.org/10.1007/978-1-137-45617-5_28</w:t>
      </w:r>
    </w:p>
    <w:p w14:paraId="000000A1" w14:textId="77777777" w:rsidR="00667542" w:rsidRPr="004A1E67" w:rsidRDefault="001C12ED">
      <w:pPr>
        <w:spacing w:after="100"/>
        <w:ind w:left="360" w:hanging="54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Knowles, M. S. (1975). </w:t>
      </w:r>
      <w:r w:rsidRPr="004A1E67">
        <w:rPr>
          <w:rFonts w:ascii="Times New Roman" w:eastAsia="Times New Roman" w:hAnsi="Times New Roman" w:cs="Times New Roman"/>
          <w:i/>
          <w:sz w:val="24"/>
          <w:szCs w:val="24"/>
          <w:lang w:val="en-GB"/>
        </w:rPr>
        <w:t>Self-Directed Learning: A Guide for Learners and Teachers</w:t>
      </w:r>
      <w:r w:rsidRPr="004A1E67">
        <w:rPr>
          <w:rFonts w:ascii="Times New Roman" w:eastAsia="Times New Roman" w:hAnsi="Times New Roman" w:cs="Times New Roman"/>
          <w:sz w:val="24"/>
          <w:szCs w:val="24"/>
          <w:lang w:val="en-GB"/>
        </w:rPr>
        <w:t>. Cambridge: Englewood Cliffs.</w:t>
      </w:r>
    </w:p>
    <w:p w14:paraId="000000A2" w14:textId="77777777" w:rsidR="00667542" w:rsidRPr="004A1E67" w:rsidRDefault="001C12ED">
      <w:pPr>
        <w:spacing w:after="100"/>
        <w:ind w:left="360" w:hanging="54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lastRenderedPageBreak/>
        <w:t>Kuh</w:t>
      </w:r>
      <w:proofErr w:type="spellEnd"/>
      <w:r w:rsidRPr="004A1E67">
        <w:rPr>
          <w:rFonts w:ascii="Times New Roman" w:eastAsia="Times New Roman" w:hAnsi="Times New Roman" w:cs="Times New Roman"/>
          <w:sz w:val="24"/>
          <w:szCs w:val="24"/>
          <w:lang w:val="en-GB"/>
        </w:rPr>
        <w:t xml:space="preserve">, G. (2009). The National Survey of Student Engagement: Conceptual and empirical foundations, </w:t>
      </w:r>
      <w:r w:rsidRPr="004A1E67">
        <w:rPr>
          <w:rFonts w:ascii="Times New Roman" w:eastAsia="Times New Roman" w:hAnsi="Times New Roman" w:cs="Times New Roman"/>
          <w:i/>
          <w:sz w:val="24"/>
          <w:szCs w:val="24"/>
          <w:lang w:val="en-GB"/>
        </w:rPr>
        <w:t>New Directions for Institutional Research</w:t>
      </w:r>
      <w:r w:rsidRPr="004A1E67">
        <w:rPr>
          <w:rFonts w:ascii="Times New Roman" w:eastAsia="Times New Roman" w:hAnsi="Times New Roman" w:cs="Times New Roman"/>
          <w:sz w:val="24"/>
          <w:szCs w:val="24"/>
          <w:lang w:val="en-GB"/>
        </w:rPr>
        <w:t>, 141(Spring), 5–20.</w:t>
      </w:r>
    </w:p>
    <w:p w14:paraId="000000A3" w14:textId="77777777" w:rsidR="00667542" w:rsidRPr="004A1E67" w:rsidRDefault="001C12ED">
      <w:pPr>
        <w:spacing w:after="100"/>
        <w:ind w:left="360" w:hanging="54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Lamont, M. and M. L. Small (2008). How Culture Matters: Enriching Our Understandings of Poverty. In David Harris and Ann Lin (ed.) </w:t>
      </w:r>
      <w:r w:rsidRPr="004A1E67">
        <w:rPr>
          <w:rFonts w:ascii="Times New Roman" w:eastAsia="Times New Roman" w:hAnsi="Times New Roman" w:cs="Times New Roman"/>
          <w:i/>
          <w:sz w:val="24"/>
          <w:szCs w:val="24"/>
          <w:lang w:val="en-GB"/>
        </w:rPr>
        <w:t xml:space="preserve">The </w:t>
      </w:r>
      <w:proofErr w:type="spellStart"/>
      <w:r w:rsidRPr="004A1E67">
        <w:rPr>
          <w:rFonts w:ascii="Times New Roman" w:eastAsia="Times New Roman" w:hAnsi="Times New Roman" w:cs="Times New Roman"/>
          <w:i/>
          <w:sz w:val="24"/>
          <w:szCs w:val="24"/>
          <w:lang w:val="en-GB"/>
        </w:rPr>
        <w:t>Colors</w:t>
      </w:r>
      <w:proofErr w:type="spellEnd"/>
      <w:r w:rsidRPr="004A1E67">
        <w:rPr>
          <w:rFonts w:ascii="Times New Roman" w:eastAsia="Times New Roman" w:hAnsi="Times New Roman" w:cs="Times New Roman"/>
          <w:i/>
          <w:sz w:val="24"/>
          <w:szCs w:val="24"/>
          <w:lang w:val="en-GB"/>
        </w:rPr>
        <w:t xml:space="preserve"> of Poverty: Why Racial and Ethnic Disparities Persist</w:t>
      </w:r>
      <w:r w:rsidRPr="004A1E67">
        <w:rPr>
          <w:rFonts w:ascii="Times New Roman" w:eastAsia="Times New Roman" w:hAnsi="Times New Roman" w:cs="Times New Roman"/>
          <w:sz w:val="24"/>
          <w:szCs w:val="24"/>
          <w:lang w:val="en-GB"/>
        </w:rPr>
        <w:t xml:space="preserve"> (pp. 76-102). Russell Sage Foundation.</w:t>
      </w:r>
    </w:p>
    <w:p w14:paraId="000000A4" w14:textId="77777777" w:rsidR="00667542" w:rsidRPr="004A1E67" w:rsidRDefault="001C12ED">
      <w:pPr>
        <w:spacing w:after="100"/>
        <w:ind w:left="360" w:hanging="54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Lee, S. (2021). Researching higher education as students’ academic self-formation. Centre for Global Higher Education (CHGE) Working paper 76. https://www.researchcghe.org/publications/working-paper/researching-higher-education-as-students-academic-self-formation/ </w:t>
      </w:r>
    </w:p>
    <w:p w14:paraId="000000A5" w14:textId="77777777" w:rsidR="00667542" w:rsidRPr="004A1E67" w:rsidRDefault="001C12ED">
      <w:pPr>
        <w:spacing w:after="100"/>
        <w:ind w:left="360" w:hanging="54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Leondari</w:t>
      </w:r>
      <w:proofErr w:type="spellEnd"/>
      <w:r w:rsidRPr="004A1E67">
        <w:rPr>
          <w:rFonts w:ascii="Times New Roman" w:eastAsia="Times New Roman" w:hAnsi="Times New Roman" w:cs="Times New Roman"/>
          <w:sz w:val="24"/>
          <w:szCs w:val="24"/>
          <w:lang w:val="en-GB"/>
        </w:rPr>
        <w:t xml:space="preserve">, A. (2007). Future time perspective, possible selves, and academic achievement. </w:t>
      </w:r>
      <w:r w:rsidRPr="004A1E67">
        <w:rPr>
          <w:rFonts w:ascii="Times New Roman" w:eastAsia="Times New Roman" w:hAnsi="Times New Roman" w:cs="Times New Roman"/>
          <w:i/>
          <w:sz w:val="24"/>
          <w:szCs w:val="24"/>
          <w:lang w:val="en-GB"/>
        </w:rPr>
        <w:t>New Directions for Adult and Continuing Education</w:t>
      </w:r>
      <w:r w:rsidRPr="004A1E67">
        <w:rPr>
          <w:rFonts w:ascii="Times New Roman" w:eastAsia="Times New Roman" w:hAnsi="Times New Roman" w:cs="Times New Roman"/>
          <w:sz w:val="24"/>
          <w:szCs w:val="24"/>
          <w:lang w:val="en-GB"/>
        </w:rPr>
        <w:t>, 114, 17–26.</w:t>
      </w:r>
    </w:p>
    <w:p w14:paraId="000000A6"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Levesque, Chantal &amp; </w:t>
      </w:r>
      <w:proofErr w:type="spellStart"/>
      <w:r w:rsidRPr="004A1E67">
        <w:rPr>
          <w:rFonts w:ascii="Times New Roman" w:eastAsia="Times New Roman" w:hAnsi="Times New Roman" w:cs="Times New Roman"/>
          <w:sz w:val="24"/>
          <w:szCs w:val="24"/>
          <w:lang w:val="en-GB"/>
        </w:rPr>
        <w:t>Zuehlke</w:t>
      </w:r>
      <w:proofErr w:type="spellEnd"/>
      <w:r w:rsidRPr="004A1E67">
        <w:rPr>
          <w:rFonts w:ascii="Times New Roman" w:eastAsia="Times New Roman" w:hAnsi="Times New Roman" w:cs="Times New Roman"/>
          <w:sz w:val="24"/>
          <w:szCs w:val="24"/>
          <w:lang w:val="en-GB"/>
        </w:rPr>
        <w:t xml:space="preserve">, A. &amp; Stanek, Layla &amp; Ryan, Richard. (2004). Autonomy and Competence in German and American University Students: A Comparative Study Based on Self-Determination Theory. </w:t>
      </w:r>
      <w:r w:rsidRPr="004A1E67">
        <w:rPr>
          <w:rFonts w:ascii="Times New Roman" w:eastAsia="Times New Roman" w:hAnsi="Times New Roman" w:cs="Times New Roman"/>
          <w:i/>
          <w:sz w:val="24"/>
          <w:szCs w:val="24"/>
          <w:lang w:val="en-GB"/>
        </w:rPr>
        <w:t>Journal of Educational Psychology</w:t>
      </w:r>
      <w:r w:rsidRPr="004A1E67">
        <w:rPr>
          <w:rFonts w:ascii="Times New Roman" w:eastAsia="Times New Roman" w:hAnsi="Times New Roman" w:cs="Times New Roman"/>
          <w:sz w:val="24"/>
          <w:szCs w:val="24"/>
          <w:lang w:val="en-GB"/>
        </w:rPr>
        <w:t>. 96, 68-84. 10.1037/0022-0663.96.1.68.</w:t>
      </w:r>
    </w:p>
    <w:p w14:paraId="000000A7"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Marginson</w:t>
      </w:r>
      <w:proofErr w:type="spellEnd"/>
      <w:r w:rsidRPr="004A1E67">
        <w:rPr>
          <w:rFonts w:ascii="Times New Roman" w:eastAsia="Times New Roman" w:hAnsi="Times New Roman" w:cs="Times New Roman"/>
          <w:sz w:val="24"/>
          <w:szCs w:val="24"/>
          <w:lang w:val="en-GB"/>
        </w:rPr>
        <w:t xml:space="preserve">, S. (2014). Student self-formation in international education. </w:t>
      </w:r>
      <w:r w:rsidRPr="004A1E67">
        <w:rPr>
          <w:rFonts w:ascii="Times New Roman" w:eastAsia="Times New Roman" w:hAnsi="Times New Roman" w:cs="Times New Roman"/>
          <w:i/>
          <w:sz w:val="24"/>
          <w:szCs w:val="24"/>
          <w:lang w:val="en-GB"/>
        </w:rPr>
        <w:t>Journal of Studies in International Education</w:t>
      </w:r>
      <w:r w:rsidRPr="004A1E67">
        <w:rPr>
          <w:rFonts w:ascii="Times New Roman" w:eastAsia="Times New Roman" w:hAnsi="Times New Roman" w:cs="Times New Roman"/>
          <w:sz w:val="24"/>
          <w:szCs w:val="24"/>
          <w:lang w:val="en-GB"/>
        </w:rPr>
        <w:t xml:space="preserve">, 18(1), 6-22. https://doi.org/10.1177/1028315313513 </w:t>
      </w:r>
    </w:p>
    <w:p w14:paraId="000000A8"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Marginson</w:t>
      </w:r>
      <w:proofErr w:type="spellEnd"/>
      <w:r w:rsidRPr="004A1E67">
        <w:rPr>
          <w:rFonts w:ascii="Times New Roman" w:eastAsia="Times New Roman" w:hAnsi="Times New Roman" w:cs="Times New Roman"/>
          <w:sz w:val="24"/>
          <w:szCs w:val="24"/>
          <w:lang w:val="en-GB"/>
        </w:rPr>
        <w:t xml:space="preserve">, S. (2018). </w:t>
      </w:r>
      <w:r w:rsidRPr="004A1E67">
        <w:rPr>
          <w:rFonts w:ascii="Times New Roman" w:eastAsia="Times New Roman" w:hAnsi="Times New Roman" w:cs="Times New Roman"/>
          <w:i/>
          <w:sz w:val="24"/>
          <w:szCs w:val="24"/>
          <w:lang w:val="en-GB"/>
        </w:rPr>
        <w:t>Higher education as self-formation.</w:t>
      </w:r>
      <w:r w:rsidRPr="004A1E67">
        <w:rPr>
          <w:rFonts w:ascii="Times New Roman" w:eastAsia="Times New Roman" w:hAnsi="Times New Roman" w:cs="Times New Roman"/>
          <w:sz w:val="24"/>
          <w:szCs w:val="24"/>
          <w:lang w:val="en-GB"/>
        </w:rPr>
        <w:t xml:space="preserve"> Inaugural Professorial Lecture, UCL Institute of Education, London. https://www.ucl-ioe-press.com/books/higher-education-and-lifelong-learning/higher-education-as-a-process-of-self-formation/ </w:t>
      </w:r>
    </w:p>
    <w:p w14:paraId="000000A9"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Marginson</w:t>
      </w:r>
      <w:proofErr w:type="spellEnd"/>
      <w:r w:rsidRPr="004A1E67">
        <w:rPr>
          <w:rFonts w:ascii="Times New Roman" w:eastAsia="Times New Roman" w:hAnsi="Times New Roman" w:cs="Times New Roman"/>
          <w:sz w:val="24"/>
          <w:szCs w:val="24"/>
          <w:lang w:val="en-GB"/>
        </w:rPr>
        <w:t xml:space="preserve">, S. (forthcoming, 2022). Higher education as students’ self-formation. </w:t>
      </w:r>
      <w:r w:rsidRPr="004A1E67">
        <w:rPr>
          <w:rFonts w:ascii="Times New Roman" w:eastAsia="Times New Roman" w:hAnsi="Times New Roman" w:cs="Times New Roman"/>
          <w:i/>
          <w:sz w:val="24"/>
          <w:szCs w:val="24"/>
          <w:lang w:val="en-GB"/>
        </w:rPr>
        <w:t>Research Handbook of Student Experiences in Higher Education.</w:t>
      </w:r>
    </w:p>
    <w:p w14:paraId="000000AA"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Marín, V.I., </w:t>
      </w:r>
      <w:proofErr w:type="spellStart"/>
      <w:r w:rsidRPr="004A1E67">
        <w:rPr>
          <w:rFonts w:ascii="Times New Roman" w:eastAsia="Times New Roman" w:hAnsi="Times New Roman" w:cs="Times New Roman"/>
          <w:sz w:val="24"/>
          <w:szCs w:val="24"/>
          <w:lang w:val="en-GB"/>
        </w:rPr>
        <w:t>Crosetti</w:t>
      </w:r>
      <w:proofErr w:type="spellEnd"/>
      <w:r w:rsidRPr="004A1E67">
        <w:rPr>
          <w:rFonts w:ascii="Times New Roman" w:eastAsia="Times New Roman" w:hAnsi="Times New Roman" w:cs="Times New Roman"/>
          <w:sz w:val="24"/>
          <w:szCs w:val="24"/>
          <w:lang w:val="en-GB"/>
        </w:rPr>
        <w:t xml:space="preserve">, B.D., &amp; </w:t>
      </w:r>
      <w:proofErr w:type="spellStart"/>
      <w:r w:rsidRPr="004A1E67">
        <w:rPr>
          <w:rFonts w:ascii="Times New Roman" w:eastAsia="Times New Roman" w:hAnsi="Times New Roman" w:cs="Times New Roman"/>
          <w:sz w:val="24"/>
          <w:szCs w:val="24"/>
          <w:lang w:val="en-GB"/>
        </w:rPr>
        <w:t>Darder</w:t>
      </w:r>
      <w:proofErr w:type="spellEnd"/>
      <w:r w:rsidRPr="004A1E67">
        <w:rPr>
          <w:rFonts w:ascii="Times New Roman" w:eastAsia="Times New Roman" w:hAnsi="Times New Roman" w:cs="Times New Roman"/>
          <w:sz w:val="24"/>
          <w:szCs w:val="24"/>
          <w:lang w:val="en-GB"/>
        </w:rPr>
        <w:t xml:space="preserve">, A. (2020). Technology-Enhanced Learning for Student Agency in Higher Education: </w:t>
      </w:r>
      <w:proofErr w:type="gramStart"/>
      <w:r w:rsidRPr="004A1E67">
        <w:rPr>
          <w:rFonts w:ascii="Times New Roman" w:eastAsia="Times New Roman" w:hAnsi="Times New Roman" w:cs="Times New Roman"/>
          <w:sz w:val="24"/>
          <w:szCs w:val="24"/>
          <w:lang w:val="en-GB"/>
        </w:rPr>
        <w:t>a</w:t>
      </w:r>
      <w:proofErr w:type="gramEnd"/>
      <w:r w:rsidRPr="004A1E67">
        <w:rPr>
          <w:rFonts w:ascii="Times New Roman" w:eastAsia="Times New Roman" w:hAnsi="Times New Roman" w:cs="Times New Roman"/>
          <w:sz w:val="24"/>
          <w:szCs w:val="24"/>
          <w:lang w:val="en-GB"/>
        </w:rPr>
        <w:t xml:space="preserve"> Systematic Literature Review. </w:t>
      </w:r>
      <w:proofErr w:type="spellStart"/>
      <w:r w:rsidRPr="004A1E67">
        <w:rPr>
          <w:rFonts w:ascii="Times New Roman" w:eastAsia="Times New Roman" w:hAnsi="Times New Roman" w:cs="Times New Roman"/>
          <w:i/>
          <w:sz w:val="24"/>
          <w:szCs w:val="24"/>
          <w:lang w:val="en-GB"/>
        </w:rPr>
        <w:t>IxD&amp;A</w:t>
      </w:r>
      <w:proofErr w:type="spellEnd"/>
      <w:r w:rsidRPr="004A1E67">
        <w:rPr>
          <w:rFonts w:ascii="Times New Roman" w:eastAsia="Times New Roman" w:hAnsi="Times New Roman" w:cs="Times New Roman"/>
          <w:i/>
          <w:sz w:val="24"/>
          <w:szCs w:val="24"/>
          <w:lang w:val="en-GB"/>
        </w:rPr>
        <w:t>, 45</w:t>
      </w:r>
      <w:r w:rsidRPr="004A1E67">
        <w:rPr>
          <w:rFonts w:ascii="Times New Roman" w:eastAsia="Times New Roman" w:hAnsi="Times New Roman" w:cs="Times New Roman"/>
          <w:sz w:val="24"/>
          <w:szCs w:val="24"/>
          <w:lang w:val="en-GB"/>
        </w:rPr>
        <w:t>, 15-49.</w:t>
      </w:r>
    </w:p>
    <w:p w14:paraId="000000AB"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Matthews, K. E. (2017). Five propositions for genuine students as partners practice. International Journal for Students as Partners, 1(2), 1-9. https://dx.doi.org/10.15173/ijsap.v1i2.3315 </w:t>
      </w:r>
    </w:p>
    <w:p w14:paraId="000000AC"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Matthews, K. E., Cook-Sather, A., Acai, A., </w:t>
      </w:r>
      <w:proofErr w:type="spellStart"/>
      <w:r w:rsidRPr="004A1E67">
        <w:rPr>
          <w:rFonts w:ascii="Times New Roman" w:eastAsia="Times New Roman" w:hAnsi="Times New Roman" w:cs="Times New Roman"/>
          <w:sz w:val="24"/>
          <w:szCs w:val="24"/>
          <w:lang w:val="en-GB"/>
        </w:rPr>
        <w:t>Dvorakova</w:t>
      </w:r>
      <w:proofErr w:type="spellEnd"/>
      <w:r w:rsidRPr="004A1E67">
        <w:rPr>
          <w:rFonts w:ascii="Times New Roman" w:eastAsia="Times New Roman" w:hAnsi="Times New Roman" w:cs="Times New Roman"/>
          <w:sz w:val="24"/>
          <w:szCs w:val="24"/>
          <w:lang w:val="en-GB"/>
        </w:rPr>
        <w:t xml:space="preserve">, S. L., </w:t>
      </w:r>
      <w:proofErr w:type="spellStart"/>
      <w:r w:rsidRPr="004A1E67">
        <w:rPr>
          <w:rFonts w:ascii="Times New Roman" w:eastAsia="Times New Roman" w:hAnsi="Times New Roman" w:cs="Times New Roman"/>
          <w:sz w:val="24"/>
          <w:szCs w:val="24"/>
          <w:lang w:val="en-GB"/>
        </w:rPr>
        <w:t>Felten</w:t>
      </w:r>
      <w:proofErr w:type="spellEnd"/>
      <w:r w:rsidRPr="004A1E67">
        <w:rPr>
          <w:rFonts w:ascii="Times New Roman" w:eastAsia="Times New Roman" w:hAnsi="Times New Roman" w:cs="Times New Roman"/>
          <w:sz w:val="24"/>
          <w:szCs w:val="24"/>
          <w:lang w:val="en-GB"/>
        </w:rPr>
        <w:t xml:space="preserve">, P., Marquis, E., &amp; </w:t>
      </w:r>
      <w:proofErr w:type="spellStart"/>
      <w:r w:rsidRPr="004A1E67">
        <w:rPr>
          <w:rFonts w:ascii="Times New Roman" w:eastAsia="Times New Roman" w:hAnsi="Times New Roman" w:cs="Times New Roman"/>
          <w:sz w:val="24"/>
          <w:szCs w:val="24"/>
          <w:lang w:val="en-GB"/>
        </w:rPr>
        <w:t>MercerMapstone</w:t>
      </w:r>
      <w:proofErr w:type="spellEnd"/>
      <w:r w:rsidRPr="004A1E67">
        <w:rPr>
          <w:rFonts w:ascii="Times New Roman" w:eastAsia="Times New Roman" w:hAnsi="Times New Roman" w:cs="Times New Roman"/>
          <w:sz w:val="24"/>
          <w:szCs w:val="24"/>
          <w:lang w:val="en-GB"/>
        </w:rPr>
        <w:t xml:space="preserve">, L. (2018). Toward theories of partnership praxis: An analysis of interpretive framing in literature on students as partners in university teaching and learning. </w:t>
      </w:r>
      <w:r w:rsidRPr="004A1E67">
        <w:rPr>
          <w:rFonts w:ascii="Times New Roman" w:eastAsia="Times New Roman" w:hAnsi="Times New Roman" w:cs="Times New Roman"/>
          <w:i/>
          <w:sz w:val="24"/>
          <w:szCs w:val="24"/>
          <w:lang w:val="en-GB"/>
        </w:rPr>
        <w:t>Higher Education Research &amp; Development</w:t>
      </w:r>
      <w:r w:rsidRPr="004A1E67">
        <w:rPr>
          <w:rFonts w:ascii="Times New Roman" w:eastAsia="Times New Roman" w:hAnsi="Times New Roman" w:cs="Times New Roman"/>
          <w:sz w:val="24"/>
          <w:szCs w:val="24"/>
          <w:lang w:val="en-GB"/>
        </w:rPr>
        <w:t xml:space="preserve">. https://doi.org/10.1080/07294360.2018.1530199 </w:t>
      </w:r>
    </w:p>
    <w:p w14:paraId="000000AD"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Mayhew, Matthew J., Alyssa N. </w:t>
      </w:r>
      <w:proofErr w:type="spellStart"/>
      <w:r w:rsidRPr="004A1E67">
        <w:rPr>
          <w:rFonts w:ascii="Times New Roman" w:eastAsia="Times New Roman" w:hAnsi="Times New Roman" w:cs="Times New Roman"/>
          <w:sz w:val="24"/>
          <w:szCs w:val="24"/>
          <w:lang w:val="en-GB"/>
        </w:rPr>
        <w:t>Rockenbach</w:t>
      </w:r>
      <w:proofErr w:type="spellEnd"/>
      <w:r w:rsidRPr="004A1E67">
        <w:rPr>
          <w:rFonts w:ascii="Times New Roman" w:eastAsia="Times New Roman" w:hAnsi="Times New Roman" w:cs="Times New Roman"/>
          <w:sz w:val="24"/>
          <w:szCs w:val="24"/>
          <w:lang w:val="en-GB"/>
        </w:rPr>
        <w:t xml:space="preserve">, Nicholas A. Bowman, Tricia A. Seifert, and Gregory C. </w:t>
      </w:r>
      <w:proofErr w:type="spellStart"/>
      <w:r w:rsidRPr="004A1E67">
        <w:rPr>
          <w:rFonts w:ascii="Times New Roman" w:eastAsia="Times New Roman" w:hAnsi="Times New Roman" w:cs="Times New Roman"/>
          <w:sz w:val="24"/>
          <w:szCs w:val="24"/>
          <w:lang w:val="en-GB"/>
        </w:rPr>
        <w:t>Wolniak</w:t>
      </w:r>
      <w:proofErr w:type="spellEnd"/>
      <w:r w:rsidRPr="004A1E67">
        <w:rPr>
          <w:rFonts w:ascii="Times New Roman" w:eastAsia="Times New Roman" w:hAnsi="Times New Roman" w:cs="Times New Roman"/>
          <w:sz w:val="24"/>
          <w:szCs w:val="24"/>
          <w:lang w:val="en-GB"/>
        </w:rPr>
        <w:t xml:space="preserve"> with Ernest T. Pascarella and Patrick T. </w:t>
      </w:r>
      <w:proofErr w:type="spellStart"/>
      <w:r w:rsidRPr="004A1E67">
        <w:rPr>
          <w:rFonts w:ascii="Times New Roman" w:eastAsia="Times New Roman" w:hAnsi="Times New Roman" w:cs="Times New Roman"/>
          <w:sz w:val="24"/>
          <w:szCs w:val="24"/>
          <w:lang w:val="en-GB"/>
        </w:rPr>
        <w:t>Terenzini</w:t>
      </w:r>
      <w:proofErr w:type="spellEnd"/>
      <w:r w:rsidRPr="004A1E67">
        <w:rPr>
          <w:rFonts w:ascii="Times New Roman" w:eastAsia="Times New Roman" w:hAnsi="Times New Roman" w:cs="Times New Roman"/>
          <w:sz w:val="24"/>
          <w:szCs w:val="24"/>
          <w:lang w:val="en-GB"/>
        </w:rPr>
        <w:t xml:space="preserve"> (2016). </w:t>
      </w:r>
      <w:r w:rsidRPr="004A1E67">
        <w:rPr>
          <w:rFonts w:ascii="Times New Roman" w:eastAsia="Times New Roman" w:hAnsi="Times New Roman" w:cs="Times New Roman"/>
          <w:i/>
          <w:sz w:val="24"/>
          <w:szCs w:val="24"/>
          <w:lang w:val="en-GB"/>
        </w:rPr>
        <w:t xml:space="preserve">How College Affects Students: Volume 3. 21st Century Evidence That Higher Education Works. </w:t>
      </w:r>
      <w:r w:rsidRPr="004A1E67">
        <w:rPr>
          <w:rFonts w:ascii="Times New Roman" w:eastAsia="Times New Roman" w:hAnsi="Times New Roman" w:cs="Times New Roman"/>
          <w:sz w:val="24"/>
          <w:szCs w:val="24"/>
          <w:lang w:val="en-GB"/>
        </w:rPr>
        <w:t>San Francisco, CA: Jossey-Bass.</w:t>
      </w:r>
    </w:p>
    <w:p w14:paraId="000000AE"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lastRenderedPageBreak/>
        <w:t xml:space="preserve">Neale B, Henwood K, Holland J. (2012). Researching lives through time: an introduction to the </w:t>
      </w:r>
      <w:proofErr w:type="spellStart"/>
      <w:r w:rsidRPr="004A1E67">
        <w:rPr>
          <w:rFonts w:ascii="Times New Roman" w:eastAsia="Times New Roman" w:hAnsi="Times New Roman" w:cs="Times New Roman"/>
          <w:sz w:val="24"/>
          <w:szCs w:val="24"/>
          <w:lang w:val="en-GB"/>
        </w:rPr>
        <w:t>Timescapes</w:t>
      </w:r>
      <w:proofErr w:type="spellEnd"/>
      <w:r w:rsidRPr="004A1E67">
        <w:rPr>
          <w:rFonts w:ascii="Times New Roman" w:eastAsia="Times New Roman" w:hAnsi="Times New Roman" w:cs="Times New Roman"/>
          <w:sz w:val="24"/>
          <w:szCs w:val="24"/>
          <w:lang w:val="en-GB"/>
        </w:rPr>
        <w:t xml:space="preserve"> approach. </w:t>
      </w:r>
      <w:r w:rsidRPr="004A1E67">
        <w:rPr>
          <w:rFonts w:ascii="Times New Roman" w:eastAsia="Times New Roman" w:hAnsi="Times New Roman" w:cs="Times New Roman"/>
          <w:i/>
          <w:sz w:val="24"/>
          <w:szCs w:val="24"/>
          <w:lang w:val="en-GB"/>
        </w:rPr>
        <w:t>Qualitative Research</w:t>
      </w:r>
      <w:r w:rsidRPr="004A1E67">
        <w:rPr>
          <w:rFonts w:ascii="Times New Roman" w:eastAsia="Times New Roman" w:hAnsi="Times New Roman" w:cs="Times New Roman"/>
          <w:sz w:val="24"/>
          <w:szCs w:val="24"/>
          <w:lang w:val="en-GB"/>
        </w:rPr>
        <w:t>. 2012;12(1):4-15. doi:10.1177/1468794111426229</w:t>
      </w:r>
    </w:p>
    <w:p w14:paraId="000000AF"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Nussbaum, M. (2011). </w:t>
      </w:r>
      <w:r w:rsidRPr="004A1E67">
        <w:rPr>
          <w:rFonts w:ascii="Times New Roman" w:eastAsia="Times New Roman" w:hAnsi="Times New Roman" w:cs="Times New Roman"/>
          <w:i/>
          <w:sz w:val="24"/>
          <w:szCs w:val="24"/>
          <w:lang w:val="en-GB"/>
        </w:rPr>
        <w:t xml:space="preserve">Creating capabilities. The human development </w:t>
      </w:r>
      <w:proofErr w:type="gramStart"/>
      <w:r w:rsidRPr="004A1E67">
        <w:rPr>
          <w:rFonts w:ascii="Times New Roman" w:eastAsia="Times New Roman" w:hAnsi="Times New Roman" w:cs="Times New Roman"/>
          <w:i/>
          <w:sz w:val="24"/>
          <w:szCs w:val="24"/>
          <w:lang w:val="en-GB"/>
        </w:rPr>
        <w:t>approach</w:t>
      </w:r>
      <w:proofErr w:type="gramEnd"/>
      <w:r w:rsidRPr="004A1E67">
        <w:rPr>
          <w:rFonts w:ascii="Times New Roman" w:eastAsia="Times New Roman" w:hAnsi="Times New Roman" w:cs="Times New Roman"/>
          <w:sz w:val="24"/>
          <w:szCs w:val="24"/>
          <w:lang w:val="en-GB"/>
        </w:rPr>
        <w:t xml:space="preserve">. Cambridge, MA: </w:t>
      </w:r>
      <w:proofErr w:type="spellStart"/>
      <w:r w:rsidRPr="004A1E67">
        <w:rPr>
          <w:rFonts w:ascii="Times New Roman" w:eastAsia="Times New Roman" w:hAnsi="Times New Roman" w:cs="Times New Roman"/>
          <w:sz w:val="24"/>
          <w:szCs w:val="24"/>
          <w:lang w:val="en-GB"/>
        </w:rPr>
        <w:t>Belknap</w:t>
      </w:r>
      <w:proofErr w:type="spellEnd"/>
      <w:r w:rsidRPr="004A1E67">
        <w:rPr>
          <w:rFonts w:ascii="Times New Roman" w:eastAsia="Times New Roman" w:hAnsi="Times New Roman" w:cs="Times New Roman"/>
          <w:sz w:val="24"/>
          <w:szCs w:val="24"/>
          <w:lang w:val="en-GB"/>
        </w:rPr>
        <w:t xml:space="preserve"> Press of Harvard University Press. https://doi.org/10.4159/harvard.9780674061200 </w:t>
      </w:r>
    </w:p>
    <w:p w14:paraId="000000B0"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OECD (2019). </w:t>
      </w:r>
      <w:r w:rsidRPr="004A1E67">
        <w:rPr>
          <w:rFonts w:ascii="Times New Roman" w:eastAsia="Times New Roman" w:hAnsi="Times New Roman" w:cs="Times New Roman"/>
          <w:i/>
          <w:sz w:val="24"/>
          <w:szCs w:val="24"/>
          <w:lang w:val="en-GB"/>
        </w:rPr>
        <w:t>Student Agency for 2030. Conceptual learning framework</w:t>
      </w:r>
      <w:r w:rsidRPr="004A1E67">
        <w:rPr>
          <w:rFonts w:ascii="Times New Roman" w:eastAsia="Times New Roman" w:hAnsi="Times New Roman" w:cs="Times New Roman"/>
          <w:sz w:val="24"/>
          <w:szCs w:val="24"/>
          <w:lang w:val="en-GB"/>
        </w:rPr>
        <w:t xml:space="preserve">. OECD Future of Education and Skills 2030. Paris, France: Directorate for Education and Skills, OECD. https://www.oecd.org/education/2030-project/teaching-and-learning/learning/student-agency/ </w:t>
      </w:r>
    </w:p>
    <w:p w14:paraId="000000B1"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O'Shea, Sarah &amp; Janine </w:t>
      </w:r>
      <w:proofErr w:type="spellStart"/>
      <w:r w:rsidRPr="004A1E67">
        <w:rPr>
          <w:rFonts w:ascii="Times New Roman" w:eastAsia="Times New Roman" w:hAnsi="Times New Roman" w:cs="Times New Roman"/>
          <w:sz w:val="24"/>
          <w:szCs w:val="24"/>
          <w:lang w:val="en-GB"/>
        </w:rPr>
        <w:t>Delahunty</w:t>
      </w:r>
      <w:proofErr w:type="spellEnd"/>
      <w:r w:rsidRPr="004A1E67">
        <w:rPr>
          <w:rFonts w:ascii="Times New Roman" w:eastAsia="Times New Roman" w:hAnsi="Times New Roman" w:cs="Times New Roman"/>
          <w:sz w:val="24"/>
          <w:szCs w:val="24"/>
          <w:lang w:val="en-GB"/>
        </w:rPr>
        <w:t xml:space="preserve"> (2018). Getting through the day and still having a smile on my face! How do students define success in the university learning </w:t>
      </w:r>
      <w:proofErr w:type="gramStart"/>
      <w:r w:rsidRPr="004A1E67">
        <w:rPr>
          <w:rFonts w:ascii="Times New Roman" w:eastAsia="Times New Roman" w:hAnsi="Times New Roman" w:cs="Times New Roman"/>
          <w:sz w:val="24"/>
          <w:szCs w:val="24"/>
          <w:lang w:val="en-GB"/>
        </w:rPr>
        <w:t>environment?.</w:t>
      </w:r>
      <w:proofErr w:type="gramEnd"/>
      <w:r w:rsidRPr="004A1E67">
        <w:rPr>
          <w:rFonts w:ascii="Times New Roman" w:eastAsia="Times New Roman" w:hAnsi="Times New Roman" w:cs="Times New Roman"/>
          <w:sz w:val="24"/>
          <w:szCs w:val="24"/>
          <w:lang w:val="en-GB"/>
        </w:rPr>
        <w:t xml:space="preserve"> </w:t>
      </w:r>
      <w:r w:rsidRPr="004A1E67">
        <w:rPr>
          <w:rFonts w:ascii="Times New Roman" w:eastAsia="Times New Roman" w:hAnsi="Times New Roman" w:cs="Times New Roman"/>
          <w:i/>
          <w:sz w:val="24"/>
          <w:szCs w:val="24"/>
          <w:lang w:val="en-GB"/>
        </w:rPr>
        <w:t>Higher Education Research &amp; Development</w:t>
      </w:r>
      <w:r w:rsidRPr="004A1E67">
        <w:rPr>
          <w:rFonts w:ascii="Times New Roman" w:eastAsia="Times New Roman" w:hAnsi="Times New Roman" w:cs="Times New Roman"/>
          <w:sz w:val="24"/>
          <w:szCs w:val="24"/>
          <w:lang w:val="en-GB"/>
        </w:rPr>
        <w:t xml:space="preserve"> 37(5):1062-1075.</w:t>
      </w:r>
    </w:p>
    <w:p w14:paraId="000000B2"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Pascarella, E. T. (1980). Student faculty informal contact and college outcomes. Review of Educational Research, 50 (4): 545 595. https://doi.org/1 0.3102/00346543050004545  </w:t>
      </w:r>
    </w:p>
    <w:p w14:paraId="000000B3"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Pascarella, E., &amp; </w:t>
      </w:r>
      <w:proofErr w:type="spellStart"/>
      <w:r w:rsidRPr="004A1E67">
        <w:rPr>
          <w:rFonts w:ascii="Times New Roman" w:eastAsia="Times New Roman" w:hAnsi="Times New Roman" w:cs="Times New Roman"/>
          <w:sz w:val="24"/>
          <w:szCs w:val="24"/>
          <w:lang w:val="en-GB"/>
        </w:rPr>
        <w:t>Terenzini</w:t>
      </w:r>
      <w:proofErr w:type="spellEnd"/>
      <w:r w:rsidRPr="004A1E67">
        <w:rPr>
          <w:rFonts w:ascii="Times New Roman" w:eastAsia="Times New Roman" w:hAnsi="Times New Roman" w:cs="Times New Roman"/>
          <w:sz w:val="24"/>
          <w:szCs w:val="24"/>
          <w:lang w:val="en-GB"/>
        </w:rPr>
        <w:t xml:space="preserve">, P. (1991). </w:t>
      </w:r>
      <w:r w:rsidRPr="004A1E67">
        <w:rPr>
          <w:rFonts w:ascii="Times New Roman" w:eastAsia="Times New Roman" w:hAnsi="Times New Roman" w:cs="Times New Roman"/>
          <w:i/>
          <w:sz w:val="24"/>
          <w:szCs w:val="24"/>
          <w:lang w:val="en-GB"/>
        </w:rPr>
        <w:t>How college affects students</w:t>
      </w:r>
      <w:r w:rsidRPr="004A1E67">
        <w:rPr>
          <w:rFonts w:ascii="Times New Roman" w:eastAsia="Times New Roman" w:hAnsi="Times New Roman" w:cs="Times New Roman"/>
          <w:sz w:val="24"/>
          <w:szCs w:val="24"/>
          <w:lang w:val="en-GB"/>
        </w:rPr>
        <w:t xml:space="preserve">. San Francisco: Jossey-Bass. </w:t>
      </w:r>
    </w:p>
    <w:p w14:paraId="000000B4"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Pascarella, E., &amp; </w:t>
      </w:r>
      <w:proofErr w:type="spellStart"/>
      <w:r w:rsidRPr="004A1E67">
        <w:rPr>
          <w:rFonts w:ascii="Times New Roman" w:eastAsia="Times New Roman" w:hAnsi="Times New Roman" w:cs="Times New Roman"/>
          <w:sz w:val="24"/>
          <w:szCs w:val="24"/>
          <w:lang w:val="en-GB"/>
        </w:rPr>
        <w:t>Terenzini</w:t>
      </w:r>
      <w:proofErr w:type="spellEnd"/>
      <w:r w:rsidRPr="004A1E67">
        <w:rPr>
          <w:rFonts w:ascii="Times New Roman" w:eastAsia="Times New Roman" w:hAnsi="Times New Roman" w:cs="Times New Roman"/>
          <w:sz w:val="24"/>
          <w:szCs w:val="24"/>
          <w:lang w:val="en-GB"/>
        </w:rPr>
        <w:t xml:space="preserve">, P. (2005). </w:t>
      </w:r>
      <w:r w:rsidRPr="004A1E67">
        <w:rPr>
          <w:rFonts w:ascii="Times New Roman" w:eastAsia="Times New Roman" w:hAnsi="Times New Roman" w:cs="Times New Roman"/>
          <w:i/>
          <w:sz w:val="24"/>
          <w:szCs w:val="24"/>
          <w:lang w:val="en-GB"/>
        </w:rPr>
        <w:t>How college affects students</w:t>
      </w:r>
      <w:r w:rsidRPr="004A1E67">
        <w:rPr>
          <w:rFonts w:ascii="Times New Roman" w:eastAsia="Times New Roman" w:hAnsi="Times New Roman" w:cs="Times New Roman"/>
          <w:sz w:val="24"/>
          <w:szCs w:val="24"/>
          <w:lang w:val="en-GB"/>
        </w:rPr>
        <w:t xml:space="preserve"> (Vol. 2): A third decade of research. San Francisco: Jossey-Bass.</w:t>
      </w:r>
    </w:p>
    <w:p w14:paraId="000000B5"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Pham, T. (2021). Conceptualising the employability agency of international graduates. Centre for Global Higher Education (CHGE) Working paper 75. https://www.researchcghe.org/publications/working-paper/conceptualising-the-employability-agency-of-international-graduates/ </w:t>
      </w:r>
    </w:p>
    <w:p w14:paraId="000000B6"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Perna</w:t>
      </w:r>
      <w:proofErr w:type="spellEnd"/>
      <w:r w:rsidRPr="004A1E67">
        <w:rPr>
          <w:rFonts w:ascii="Times New Roman" w:eastAsia="Times New Roman" w:hAnsi="Times New Roman" w:cs="Times New Roman"/>
          <w:sz w:val="24"/>
          <w:szCs w:val="24"/>
          <w:lang w:val="en-GB"/>
        </w:rPr>
        <w:t>, L. W. (2005). The benefits of higher education: Sex, racial/ethnic, and socioeconomic group differences. Review of Higher Education, 29, 2352.</w:t>
      </w:r>
    </w:p>
    <w:p w14:paraId="000000B7"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Reay, D., David, M., &amp; Ball, S. (2005). </w:t>
      </w:r>
      <w:r w:rsidRPr="004A1E67">
        <w:rPr>
          <w:rFonts w:ascii="Times New Roman" w:eastAsia="Times New Roman" w:hAnsi="Times New Roman" w:cs="Times New Roman"/>
          <w:i/>
          <w:sz w:val="24"/>
          <w:szCs w:val="24"/>
          <w:lang w:val="en-GB"/>
        </w:rPr>
        <w:t xml:space="preserve">Degree of choice: Class, race, </w:t>
      </w:r>
      <w:proofErr w:type="gramStart"/>
      <w:r w:rsidRPr="004A1E67">
        <w:rPr>
          <w:rFonts w:ascii="Times New Roman" w:eastAsia="Times New Roman" w:hAnsi="Times New Roman" w:cs="Times New Roman"/>
          <w:i/>
          <w:sz w:val="24"/>
          <w:szCs w:val="24"/>
          <w:lang w:val="en-GB"/>
        </w:rPr>
        <w:t>gender</w:t>
      </w:r>
      <w:proofErr w:type="gramEnd"/>
      <w:r w:rsidRPr="004A1E67">
        <w:rPr>
          <w:rFonts w:ascii="Times New Roman" w:eastAsia="Times New Roman" w:hAnsi="Times New Roman" w:cs="Times New Roman"/>
          <w:i/>
          <w:sz w:val="24"/>
          <w:szCs w:val="24"/>
          <w:lang w:val="en-GB"/>
        </w:rPr>
        <w:t xml:space="preserve"> and higher education</w:t>
      </w:r>
      <w:r w:rsidRPr="004A1E67">
        <w:rPr>
          <w:rFonts w:ascii="Times New Roman" w:eastAsia="Times New Roman" w:hAnsi="Times New Roman" w:cs="Times New Roman"/>
          <w:sz w:val="24"/>
          <w:szCs w:val="24"/>
          <w:lang w:val="en-GB"/>
        </w:rPr>
        <w:t>. London: Trentham Books.</w:t>
      </w:r>
    </w:p>
    <w:p w14:paraId="000000B8"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Reay D., Crozier G. &amp; Clayton J. (2010). "Fitting in" or "standing out": Working class students in UK higher education. </w:t>
      </w:r>
      <w:r w:rsidRPr="004A1E67">
        <w:rPr>
          <w:rFonts w:ascii="Times New Roman" w:eastAsia="Times New Roman" w:hAnsi="Times New Roman" w:cs="Times New Roman"/>
          <w:i/>
          <w:sz w:val="24"/>
          <w:szCs w:val="24"/>
          <w:lang w:val="en-GB"/>
        </w:rPr>
        <w:t>British Educational Research Journal</w:t>
      </w:r>
      <w:r w:rsidRPr="004A1E67">
        <w:rPr>
          <w:rFonts w:ascii="Times New Roman" w:eastAsia="Times New Roman" w:hAnsi="Times New Roman" w:cs="Times New Roman"/>
          <w:sz w:val="24"/>
          <w:szCs w:val="24"/>
          <w:lang w:val="en-GB"/>
        </w:rPr>
        <w:t xml:space="preserve"> 36(1), 107-124. https://doi.org/10.1080/01411920902878925 </w:t>
      </w:r>
    </w:p>
    <w:p w14:paraId="000000B9"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Reay, D. (2004). ‘It's all becoming a habitus’: beyond the habitual use of habitus in educational research, </w:t>
      </w:r>
      <w:r w:rsidRPr="004A1E67">
        <w:rPr>
          <w:rFonts w:ascii="Times New Roman" w:eastAsia="Times New Roman" w:hAnsi="Times New Roman" w:cs="Times New Roman"/>
          <w:i/>
          <w:sz w:val="24"/>
          <w:szCs w:val="24"/>
          <w:lang w:val="en-GB"/>
        </w:rPr>
        <w:t>British Journal of Sociology of Education</w:t>
      </w:r>
      <w:r w:rsidRPr="004A1E67">
        <w:rPr>
          <w:rFonts w:ascii="Times New Roman" w:eastAsia="Times New Roman" w:hAnsi="Times New Roman" w:cs="Times New Roman"/>
          <w:sz w:val="24"/>
          <w:szCs w:val="24"/>
          <w:lang w:val="en-GB"/>
        </w:rPr>
        <w:t>, 25:4, 431-444, DOI: 10.1080/0142569042000236934</w:t>
      </w:r>
    </w:p>
    <w:p w14:paraId="000000BA"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Ryan, R. M., Deci, E. L., </w:t>
      </w:r>
      <w:proofErr w:type="spellStart"/>
      <w:r w:rsidRPr="004A1E67">
        <w:rPr>
          <w:rFonts w:ascii="Times New Roman" w:eastAsia="Times New Roman" w:hAnsi="Times New Roman" w:cs="Times New Roman"/>
          <w:sz w:val="24"/>
          <w:szCs w:val="24"/>
          <w:lang w:val="en-GB"/>
        </w:rPr>
        <w:t>Vansteenkiste</w:t>
      </w:r>
      <w:proofErr w:type="spellEnd"/>
      <w:r w:rsidRPr="004A1E67">
        <w:rPr>
          <w:rFonts w:ascii="Times New Roman" w:eastAsia="Times New Roman" w:hAnsi="Times New Roman" w:cs="Times New Roman"/>
          <w:sz w:val="24"/>
          <w:szCs w:val="24"/>
          <w:lang w:val="en-GB"/>
        </w:rPr>
        <w:t xml:space="preserve">, M., &amp; </w:t>
      </w:r>
      <w:proofErr w:type="spellStart"/>
      <w:r w:rsidRPr="004A1E67">
        <w:rPr>
          <w:rFonts w:ascii="Times New Roman" w:eastAsia="Times New Roman" w:hAnsi="Times New Roman" w:cs="Times New Roman"/>
          <w:sz w:val="24"/>
          <w:szCs w:val="24"/>
          <w:lang w:val="en-GB"/>
        </w:rPr>
        <w:t>Soenens</w:t>
      </w:r>
      <w:proofErr w:type="spellEnd"/>
      <w:r w:rsidRPr="004A1E67">
        <w:rPr>
          <w:rFonts w:ascii="Times New Roman" w:eastAsia="Times New Roman" w:hAnsi="Times New Roman" w:cs="Times New Roman"/>
          <w:sz w:val="24"/>
          <w:szCs w:val="24"/>
          <w:lang w:val="en-GB"/>
        </w:rPr>
        <w:t xml:space="preserve">, B. (2021). Building a science of motivated persons: Self-determination theory’s empirical approach to human experience and the regulation of </w:t>
      </w:r>
      <w:proofErr w:type="spellStart"/>
      <w:r w:rsidRPr="004A1E67">
        <w:rPr>
          <w:rFonts w:ascii="Times New Roman" w:eastAsia="Times New Roman" w:hAnsi="Times New Roman" w:cs="Times New Roman"/>
          <w:sz w:val="24"/>
          <w:szCs w:val="24"/>
          <w:lang w:val="en-GB"/>
        </w:rPr>
        <w:t>behavior</w:t>
      </w:r>
      <w:proofErr w:type="spellEnd"/>
      <w:r w:rsidRPr="004A1E67">
        <w:rPr>
          <w:rFonts w:ascii="Times New Roman" w:eastAsia="Times New Roman" w:hAnsi="Times New Roman" w:cs="Times New Roman"/>
          <w:sz w:val="24"/>
          <w:szCs w:val="24"/>
          <w:lang w:val="en-GB"/>
        </w:rPr>
        <w:t>. Motivation Science, 7(2), 97–110. https://doi.org/10.1037/mot0000194</w:t>
      </w:r>
    </w:p>
    <w:p w14:paraId="000000BB"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lastRenderedPageBreak/>
        <w:t>Ryff</w:t>
      </w:r>
      <w:proofErr w:type="spellEnd"/>
      <w:r w:rsidRPr="004A1E67">
        <w:rPr>
          <w:rFonts w:ascii="Times New Roman" w:eastAsia="Times New Roman" w:hAnsi="Times New Roman" w:cs="Times New Roman"/>
          <w:sz w:val="24"/>
          <w:szCs w:val="24"/>
          <w:lang w:val="en-GB"/>
        </w:rPr>
        <w:t xml:space="preserve">, Carol D. (1989). Happiness is Everything, or Is It? Explorations on the Meaning of Psychological Well‐Being. </w:t>
      </w:r>
      <w:r w:rsidRPr="004A1E67">
        <w:rPr>
          <w:rFonts w:ascii="Times New Roman" w:eastAsia="Times New Roman" w:hAnsi="Times New Roman" w:cs="Times New Roman"/>
          <w:i/>
          <w:sz w:val="24"/>
          <w:szCs w:val="24"/>
          <w:lang w:val="en-GB"/>
        </w:rPr>
        <w:t>Journal of Personality and Social Psychology</w:t>
      </w:r>
      <w:r w:rsidRPr="004A1E67">
        <w:rPr>
          <w:rFonts w:ascii="Times New Roman" w:eastAsia="Times New Roman" w:hAnsi="Times New Roman" w:cs="Times New Roman"/>
          <w:sz w:val="24"/>
          <w:szCs w:val="24"/>
          <w:lang w:val="en-GB"/>
        </w:rPr>
        <w:t xml:space="preserve">. 57/6: 1069-81 https://doi.org/10.1037/0022-3514.57.6.1069 </w:t>
      </w:r>
    </w:p>
    <w:p w14:paraId="000000BC"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Sen, A. (1985). Well-being, </w:t>
      </w:r>
      <w:proofErr w:type="gramStart"/>
      <w:r w:rsidRPr="004A1E67">
        <w:rPr>
          <w:rFonts w:ascii="Times New Roman" w:eastAsia="Times New Roman" w:hAnsi="Times New Roman" w:cs="Times New Roman"/>
          <w:sz w:val="24"/>
          <w:szCs w:val="24"/>
          <w:lang w:val="en-GB"/>
        </w:rPr>
        <w:t>agency</w:t>
      </w:r>
      <w:proofErr w:type="gramEnd"/>
      <w:r w:rsidRPr="004A1E67">
        <w:rPr>
          <w:rFonts w:ascii="Times New Roman" w:eastAsia="Times New Roman" w:hAnsi="Times New Roman" w:cs="Times New Roman"/>
          <w:sz w:val="24"/>
          <w:szCs w:val="24"/>
          <w:lang w:val="en-GB"/>
        </w:rPr>
        <w:t xml:space="preserve"> and freedom. The Dewey Lectures 1984. </w:t>
      </w:r>
      <w:r w:rsidRPr="004A1E67">
        <w:rPr>
          <w:rFonts w:ascii="Times New Roman" w:eastAsia="Times New Roman" w:hAnsi="Times New Roman" w:cs="Times New Roman"/>
          <w:i/>
          <w:sz w:val="24"/>
          <w:szCs w:val="24"/>
          <w:lang w:val="en-GB"/>
        </w:rPr>
        <w:t>Journal of Philosophy</w:t>
      </w:r>
      <w:r w:rsidRPr="004A1E67">
        <w:rPr>
          <w:rFonts w:ascii="Times New Roman" w:eastAsia="Times New Roman" w:hAnsi="Times New Roman" w:cs="Times New Roman"/>
          <w:sz w:val="24"/>
          <w:szCs w:val="24"/>
          <w:lang w:val="en-GB"/>
        </w:rPr>
        <w:t xml:space="preserve">, 82, 169- 221. https://doi.org/10.5840/jphil198582466 </w:t>
      </w:r>
    </w:p>
    <w:p w14:paraId="000000BD"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Sen, A. (1999). </w:t>
      </w:r>
      <w:r w:rsidRPr="004A1E67">
        <w:rPr>
          <w:rFonts w:ascii="Times New Roman" w:eastAsia="Times New Roman" w:hAnsi="Times New Roman" w:cs="Times New Roman"/>
          <w:i/>
          <w:sz w:val="24"/>
          <w:szCs w:val="24"/>
          <w:lang w:val="en-GB"/>
        </w:rPr>
        <w:t>Development as freedom.</w:t>
      </w:r>
      <w:r w:rsidRPr="004A1E67">
        <w:rPr>
          <w:rFonts w:ascii="Times New Roman" w:eastAsia="Times New Roman" w:hAnsi="Times New Roman" w:cs="Times New Roman"/>
          <w:sz w:val="24"/>
          <w:szCs w:val="24"/>
          <w:lang w:val="en-GB"/>
        </w:rPr>
        <w:t xml:space="preserve"> Oxford: Oxford University Press.</w:t>
      </w:r>
    </w:p>
    <w:p w14:paraId="000000BE"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Seppälä</w:t>
      </w:r>
      <w:proofErr w:type="spellEnd"/>
      <w:r w:rsidRPr="004A1E67">
        <w:rPr>
          <w:rFonts w:ascii="Times New Roman" w:eastAsia="Times New Roman" w:hAnsi="Times New Roman" w:cs="Times New Roman"/>
          <w:sz w:val="24"/>
          <w:szCs w:val="24"/>
          <w:lang w:val="en-GB"/>
        </w:rPr>
        <w:t xml:space="preserve">, R. (2018). Beyond the “Student” Position: Pursuing Agency by Drawing on Learners’ Life-Worlds on an EAP Course. </w:t>
      </w:r>
      <w:r w:rsidRPr="004A1E67">
        <w:rPr>
          <w:rFonts w:ascii="Times New Roman" w:eastAsia="Times New Roman" w:hAnsi="Times New Roman" w:cs="Times New Roman"/>
          <w:i/>
          <w:sz w:val="24"/>
          <w:szCs w:val="24"/>
          <w:lang w:val="en-GB"/>
        </w:rPr>
        <w:t>Language Learning in Higher Education</w:t>
      </w:r>
      <w:r w:rsidRPr="004A1E67">
        <w:rPr>
          <w:rFonts w:ascii="Times New Roman" w:eastAsia="Times New Roman" w:hAnsi="Times New Roman" w:cs="Times New Roman"/>
          <w:sz w:val="24"/>
          <w:szCs w:val="24"/>
          <w:lang w:val="en-GB"/>
        </w:rPr>
        <w:t xml:space="preserve"> 8 (1): 115–131. doi:10.1515/cercles-2018-0006.</w:t>
      </w:r>
    </w:p>
    <w:p w14:paraId="000000BF"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Spady</w:t>
      </w:r>
      <w:proofErr w:type="spellEnd"/>
      <w:r w:rsidRPr="004A1E67">
        <w:rPr>
          <w:rFonts w:ascii="Times New Roman" w:eastAsia="Times New Roman" w:hAnsi="Times New Roman" w:cs="Times New Roman"/>
          <w:sz w:val="24"/>
          <w:szCs w:val="24"/>
          <w:lang w:val="en-GB"/>
        </w:rPr>
        <w:t xml:space="preserve">, W.G. (1971). Dropouts from higher education: Toward an empirical model. </w:t>
      </w:r>
      <w:r w:rsidRPr="004A1E67">
        <w:rPr>
          <w:rFonts w:ascii="Times New Roman" w:eastAsia="Times New Roman" w:hAnsi="Times New Roman" w:cs="Times New Roman"/>
          <w:i/>
          <w:sz w:val="24"/>
          <w:szCs w:val="24"/>
          <w:lang w:val="en-GB"/>
        </w:rPr>
        <w:t>Interchange</w:t>
      </w:r>
      <w:r w:rsidRPr="004A1E67">
        <w:rPr>
          <w:rFonts w:ascii="Times New Roman" w:eastAsia="Times New Roman" w:hAnsi="Times New Roman" w:cs="Times New Roman"/>
          <w:sz w:val="24"/>
          <w:szCs w:val="24"/>
          <w:lang w:val="en-GB"/>
        </w:rPr>
        <w:t xml:space="preserve"> 2, 38–62. https://doi.org/10.1007/BF02282469</w:t>
      </w:r>
    </w:p>
    <w:p w14:paraId="000000C0"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Stenalt</w:t>
      </w:r>
      <w:proofErr w:type="spellEnd"/>
      <w:r w:rsidRPr="004A1E67">
        <w:rPr>
          <w:rFonts w:ascii="Times New Roman" w:eastAsia="Times New Roman" w:hAnsi="Times New Roman" w:cs="Times New Roman"/>
          <w:sz w:val="24"/>
          <w:szCs w:val="24"/>
          <w:lang w:val="en-GB"/>
        </w:rPr>
        <w:t xml:space="preserve">, M. H. &amp; </w:t>
      </w:r>
      <w:proofErr w:type="spellStart"/>
      <w:r w:rsidRPr="004A1E67">
        <w:rPr>
          <w:rFonts w:ascii="Times New Roman" w:eastAsia="Times New Roman" w:hAnsi="Times New Roman" w:cs="Times New Roman"/>
          <w:sz w:val="24"/>
          <w:szCs w:val="24"/>
          <w:lang w:val="en-GB"/>
        </w:rPr>
        <w:t>Lassesen</w:t>
      </w:r>
      <w:proofErr w:type="spellEnd"/>
      <w:r w:rsidRPr="004A1E67">
        <w:rPr>
          <w:rFonts w:ascii="Times New Roman" w:eastAsia="Times New Roman" w:hAnsi="Times New Roman" w:cs="Times New Roman"/>
          <w:sz w:val="24"/>
          <w:szCs w:val="24"/>
          <w:lang w:val="en-GB"/>
        </w:rPr>
        <w:t xml:space="preserve">, B. (2021). Does student agency benefit student learning? A systematic review of higher education research, </w:t>
      </w:r>
      <w:r w:rsidRPr="004A1E67">
        <w:rPr>
          <w:rFonts w:ascii="Times New Roman" w:eastAsia="Times New Roman" w:hAnsi="Times New Roman" w:cs="Times New Roman"/>
          <w:i/>
          <w:sz w:val="24"/>
          <w:szCs w:val="24"/>
          <w:lang w:val="en-GB"/>
        </w:rPr>
        <w:t>Assessment &amp; Evaluation in Higher Education</w:t>
      </w:r>
      <w:r w:rsidRPr="004A1E67">
        <w:rPr>
          <w:rFonts w:ascii="Times New Roman" w:eastAsia="Times New Roman" w:hAnsi="Times New Roman" w:cs="Times New Roman"/>
          <w:sz w:val="24"/>
          <w:szCs w:val="24"/>
          <w:lang w:val="en-GB"/>
        </w:rPr>
        <w:t>, DOI: 10.1080/02602938.2021.1967874</w:t>
      </w:r>
    </w:p>
    <w:p w14:paraId="000000C1"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Stevenson, J. &amp; S. Clegg (2011). Possible selves: students orientating themselves towards the future through extracurricular activity, </w:t>
      </w:r>
      <w:r w:rsidRPr="004A1E67">
        <w:rPr>
          <w:rFonts w:ascii="Times New Roman" w:eastAsia="Times New Roman" w:hAnsi="Times New Roman" w:cs="Times New Roman"/>
          <w:i/>
          <w:sz w:val="24"/>
          <w:szCs w:val="24"/>
          <w:lang w:val="en-GB"/>
        </w:rPr>
        <w:t>British Educational Research Journal</w:t>
      </w:r>
      <w:r w:rsidRPr="004A1E67">
        <w:rPr>
          <w:rFonts w:ascii="Times New Roman" w:eastAsia="Times New Roman" w:hAnsi="Times New Roman" w:cs="Times New Roman"/>
          <w:sz w:val="24"/>
          <w:szCs w:val="24"/>
          <w:lang w:val="en-GB"/>
        </w:rPr>
        <w:t>, 37:2, 231-246, DOI: 10.1080/01411920903540672</w:t>
      </w:r>
    </w:p>
    <w:p w14:paraId="000000C2"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Stevenson, J. (2012). Black and Minority Ethnic Student Degree Retention and Attainment, Higher Education Academy: York</w:t>
      </w:r>
    </w:p>
    <w:p w14:paraId="000000C3"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proofErr w:type="spellStart"/>
      <w:r w:rsidRPr="004A1E67">
        <w:rPr>
          <w:rFonts w:ascii="Times New Roman" w:eastAsia="Times New Roman" w:hAnsi="Times New Roman" w:cs="Times New Roman"/>
          <w:sz w:val="24"/>
          <w:szCs w:val="24"/>
          <w:lang w:val="en-GB"/>
        </w:rPr>
        <w:t>Swidler</w:t>
      </w:r>
      <w:proofErr w:type="spellEnd"/>
      <w:r w:rsidRPr="004A1E67">
        <w:rPr>
          <w:rFonts w:ascii="Times New Roman" w:eastAsia="Times New Roman" w:hAnsi="Times New Roman" w:cs="Times New Roman"/>
          <w:sz w:val="24"/>
          <w:szCs w:val="24"/>
          <w:lang w:val="en-GB"/>
        </w:rPr>
        <w:t xml:space="preserve">, A. (1986). Culture in Action: Symbols and Strategies. </w:t>
      </w:r>
      <w:r w:rsidRPr="004A1E67">
        <w:rPr>
          <w:rFonts w:ascii="Times New Roman" w:eastAsia="Times New Roman" w:hAnsi="Times New Roman" w:cs="Times New Roman"/>
          <w:i/>
          <w:sz w:val="24"/>
          <w:szCs w:val="24"/>
          <w:lang w:val="en-GB"/>
        </w:rPr>
        <w:t>American Sociological Review</w:t>
      </w:r>
      <w:r w:rsidRPr="004A1E67">
        <w:rPr>
          <w:rFonts w:ascii="Times New Roman" w:eastAsia="Times New Roman" w:hAnsi="Times New Roman" w:cs="Times New Roman"/>
          <w:sz w:val="24"/>
          <w:szCs w:val="24"/>
          <w:lang w:val="en-GB"/>
        </w:rPr>
        <w:t xml:space="preserve">, 51(2), 273–286. https://doi.org/10.2307/2095521 </w:t>
      </w:r>
    </w:p>
    <w:p w14:paraId="000000C4"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Tinto, V. (1975). Dropout from higher education: a theoretical synthesis of recent research. Review of Educational Research, 45 (1): 89-125. https://doi.org/10.3102/00346543045001089 </w:t>
      </w:r>
    </w:p>
    <w:p w14:paraId="000000C5"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Walker, M., &amp; McLean, M. (2013). </w:t>
      </w:r>
      <w:r w:rsidRPr="004A1E67">
        <w:rPr>
          <w:rFonts w:ascii="Times New Roman" w:eastAsia="Times New Roman" w:hAnsi="Times New Roman" w:cs="Times New Roman"/>
          <w:i/>
          <w:sz w:val="24"/>
          <w:szCs w:val="24"/>
          <w:lang w:val="en-GB"/>
        </w:rPr>
        <w:t>Professional education, capabilities and the public good. The role of universities in promoting human development</w:t>
      </w:r>
      <w:r w:rsidRPr="004A1E67">
        <w:rPr>
          <w:rFonts w:ascii="Times New Roman" w:eastAsia="Times New Roman" w:hAnsi="Times New Roman" w:cs="Times New Roman"/>
          <w:sz w:val="24"/>
          <w:szCs w:val="24"/>
          <w:lang w:val="en-GB"/>
        </w:rPr>
        <w:t>. London: Routledge.</w:t>
      </w:r>
    </w:p>
    <w:p w14:paraId="000000C6"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Wilson-Strydom, M., and M. Walker (2015). A Capabilities-Friendly Conceptualisation of Flourishing in and Through Education. </w:t>
      </w:r>
      <w:r w:rsidRPr="004A1E67">
        <w:rPr>
          <w:rFonts w:ascii="Times New Roman" w:eastAsia="Times New Roman" w:hAnsi="Times New Roman" w:cs="Times New Roman"/>
          <w:i/>
          <w:sz w:val="24"/>
          <w:szCs w:val="24"/>
          <w:lang w:val="en-GB"/>
        </w:rPr>
        <w:t>Journal of Moral Education 44</w:t>
      </w:r>
      <w:r w:rsidRPr="004A1E67">
        <w:rPr>
          <w:rFonts w:ascii="Times New Roman" w:eastAsia="Times New Roman" w:hAnsi="Times New Roman" w:cs="Times New Roman"/>
          <w:sz w:val="24"/>
          <w:szCs w:val="24"/>
          <w:lang w:val="en-GB"/>
        </w:rPr>
        <w:t xml:space="preserve"> (3): 310–324.</w:t>
      </w:r>
    </w:p>
    <w:p w14:paraId="000000C7" w14:textId="77777777" w:rsidR="00667542" w:rsidRPr="004A1E67" w:rsidRDefault="001C12ED">
      <w:pPr>
        <w:spacing w:after="100"/>
        <w:ind w:left="720" w:hanging="720"/>
        <w:jc w:val="both"/>
        <w:rPr>
          <w:rFonts w:ascii="Times New Roman" w:eastAsia="Times New Roman" w:hAnsi="Times New Roman" w:cs="Times New Roman"/>
          <w:sz w:val="24"/>
          <w:szCs w:val="24"/>
          <w:lang w:val="en-GB"/>
        </w:rPr>
      </w:pPr>
      <w:r w:rsidRPr="004A1E67">
        <w:rPr>
          <w:rFonts w:ascii="Times New Roman" w:eastAsia="Times New Roman" w:hAnsi="Times New Roman" w:cs="Times New Roman"/>
          <w:sz w:val="24"/>
          <w:szCs w:val="24"/>
          <w:lang w:val="en-GB"/>
        </w:rPr>
        <w:t xml:space="preserve">Zimmerman, B. J. (2002). Becoming a Self-Regulated Learner: An Overview, </w:t>
      </w:r>
      <w:r w:rsidRPr="004A1E67">
        <w:rPr>
          <w:rFonts w:ascii="Times New Roman" w:eastAsia="Times New Roman" w:hAnsi="Times New Roman" w:cs="Times New Roman"/>
          <w:i/>
          <w:sz w:val="24"/>
          <w:szCs w:val="24"/>
          <w:lang w:val="en-GB"/>
        </w:rPr>
        <w:t xml:space="preserve">Theory </w:t>
      </w:r>
      <w:proofErr w:type="gramStart"/>
      <w:r w:rsidRPr="004A1E67">
        <w:rPr>
          <w:rFonts w:ascii="Times New Roman" w:eastAsia="Times New Roman" w:hAnsi="Times New Roman" w:cs="Times New Roman"/>
          <w:i/>
          <w:sz w:val="24"/>
          <w:szCs w:val="24"/>
          <w:lang w:val="en-GB"/>
        </w:rPr>
        <w:t>Into</w:t>
      </w:r>
      <w:proofErr w:type="gramEnd"/>
      <w:r w:rsidRPr="004A1E67">
        <w:rPr>
          <w:rFonts w:ascii="Times New Roman" w:eastAsia="Times New Roman" w:hAnsi="Times New Roman" w:cs="Times New Roman"/>
          <w:i/>
          <w:sz w:val="24"/>
          <w:szCs w:val="24"/>
          <w:lang w:val="en-GB"/>
        </w:rPr>
        <w:t xml:space="preserve"> Practice</w:t>
      </w:r>
      <w:r w:rsidRPr="004A1E67">
        <w:rPr>
          <w:rFonts w:ascii="Times New Roman" w:eastAsia="Times New Roman" w:hAnsi="Times New Roman" w:cs="Times New Roman"/>
          <w:sz w:val="24"/>
          <w:szCs w:val="24"/>
          <w:lang w:val="en-GB"/>
        </w:rPr>
        <w:t xml:space="preserve">, 41:2, 64-70, https://doi.org/10.1207/s15430421tip4102_2 </w:t>
      </w:r>
    </w:p>
    <w:p w14:paraId="000000C8" w14:textId="77777777" w:rsidR="00667542" w:rsidRPr="004A1E67" w:rsidRDefault="00667542">
      <w:pPr>
        <w:rPr>
          <w:rFonts w:ascii="Times New Roman" w:eastAsia="Times New Roman" w:hAnsi="Times New Roman" w:cs="Times New Roman"/>
          <w:sz w:val="24"/>
          <w:szCs w:val="24"/>
          <w:lang w:val="en-GB"/>
        </w:rPr>
      </w:pPr>
    </w:p>
    <w:sectPr w:rsidR="00667542" w:rsidRPr="004A1E67">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773B0" w14:textId="77777777" w:rsidR="00B65AB0" w:rsidRDefault="001C12ED">
      <w:pPr>
        <w:spacing w:line="240" w:lineRule="auto"/>
      </w:pPr>
      <w:r>
        <w:separator/>
      </w:r>
    </w:p>
  </w:endnote>
  <w:endnote w:type="continuationSeparator" w:id="0">
    <w:p w14:paraId="487AB2A3" w14:textId="77777777" w:rsidR="00B65AB0" w:rsidRDefault="001C12ED">
      <w:pPr>
        <w:spacing w:line="240" w:lineRule="auto"/>
      </w:pPr>
      <w:r>
        <w:continuationSeparator/>
      </w:r>
    </w:p>
  </w:endnote>
  <w:endnote w:type="continuationNotice" w:id="1">
    <w:p w14:paraId="4C0CFDB0" w14:textId="77777777" w:rsidR="005B73ED" w:rsidRDefault="005B73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B" w14:textId="77777777" w:rsidR="00667542" w:rsidRDefault="001C12ED">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sidR="00063677">
      <w:rPr>
        <w:color w:val="000000"/>
      </w:rPr>
      <w:fldChar w:fldCharType="separate"/>
    </w:r>
    <w:r>
      <w:rPr>
        <w:color w:val="000000"/>
      </w:rPr>
      <w:fldChar w:fldCharType="end"/>
    </w:r>
  </w:p>
  <w:p w14:paraId="000000CC" w14:textId="77777777" w:rsidR="00667542" w:rsidRDefault="00667542">
    <w:pPr>
      <w:pBdr>
        <w:top w:val="nil"/>
        <w:left w:val="nil"/>
        <w:bottom w:val="nil"/>
        <w:right w:val="nil"/>
        <w:between w:val="nil"/>
      </w:pBdr>
      <w:tabs>
        <w:tab w:val="center" w:pos="4513"/>
        <w:tab w:val="right" w:pos="9026"/>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9" w14:textId="1D8752AD" w:rsidR="00667542" w:rsidRDefault="001C12ED">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475607">
      <w:rPr>
        <w:noProof/>
        <w:color w:val="000000"/>
      </w:rPr>
      <w:t>1</w:t>
    </w:r>
    <w:r>
      <w:rPr>
        <w:color w:val="000000"/>
      </w:rPr>
      <w:fldChar w:fldCharType="end"/>
    </w:r>
  </w:p>
  <w:p w14:paraId="000000CA" w14:textId="77777777" w:rsidR="00667542" w:rsidRDefault="00667542">
    <w:pPr>
      <w:pBdr>
        <w:top w:val="nil"/>
        <w:left w:val="nil"/>
        <w:bottom w:val="nil"/>
        <w:right w:val="nil"/>
        <w:between w:val="nil"/>
      </w:pBdr>
      <w:tabs>
        <w:tab w:val="center" w:pos="4513"/>
        <w:tab w:val="right" w:pos="9026"/>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0C061" w14:textId="77777777" w:rsidR="00B65AB0" w:rsidRDefault="001C12ED">
      <w:pPr>
        <w:spacing w:line="240" w:lineRule="auto"/>
      </w:pPr>
      <w:r>
        <w:separator/>
      </w:r>
    </w:p>
  </w:footnote>
  <w:footnote w:type="continuationSeparator" w:id="0">
    <w:p w14:paraId="1A5A9555" w14:textId="77777777" w:rsidR="00B65AB0" w:rsidRDefault="001C12ED">
      <w:pPr>
        <w:spacing w:line="240" w:lineRule="auto"/>
      </w:pPr>
      <w:r>
        <w:continuationSeparator/>
      </w:r>
    </w:p>
  </w:footnote>
  <w:footnote w:type="continuationNotice" w:id="1">
    <w:p w14:paraId="0F4C829B" w14:textId="77777777" w:rsidR="005B73ED" w:rsidRDefault="005B73ED">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542"/>
    <w:rsid w:val="00063677"/>
    <w:rsid w:val="001207A0"/>
    <w:rsid w:val="001C12ED"/>
    <w:rsid w:val="00221880"/>
    <w:rsid w:val="00241C28"/>
    <w:rsid w:val="00250A88"/>
    <w:rsid w:val="00253241"/>
    <w:rsid w:val="00475607"/>
    <w:rsid w:val="00493715"/>
    <w:rsid w:val="004A1E67"/>
    <w:rsid w:val="004E0A4F"/>
    <w:rsid w:val="005B73ED"/>
    <w:rsid w:val="00667542"/>
    <w:rsid w:val="00687B17"/>
    <w:rsid w:val="00716108"/>
    <w:rsid w:val="00757AED"/>
    <w:rsid w:val="007E7953"/>
    <w:rsid w:val="00800D54"/>
    <w:rsid w:val="00853AF7"/>
    <w:rsid w:val="0096048A"/>
    <w:rsid w:val="00A7366B"/>
    <w:rsid w:val="00A92BE7"/>
    <w:rsid w:val="00AF4CE0"/>
    <w:rsid w:val="00B43FD7"/>
    <w:rsid w:val="00B65AB0"/>
    <w:rsid w:val="00CB2103"/>
    <w:rsid w:val="00E3232C"/>
    <w:rsid w:val="00EC4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5DEC37"/>
  <w15:docId w15:val="{188618B4-F439-C842-AE8A-7604D4F68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507EAC"/>
    <w:pPr>
      <w:tabs>
        <w:tab w:val="center" w:pos="4513"/>
        <w:tab w:val="right" w:pos="9026"/>
      </w:tabs>
      <w:spacing w:line="240" w:lineRule="auto"/>
    </w:pPr>
  </w:style>
  <w:style w:type="character" w:customStyle="1" w:styleId="FooterChar">
    <w:name w:val="Footer Char"/>
    <w:basedOn w:val="DefaultParagraphFont"/>
    <w:link w:val="Footer"/>
    <w:uiPriority w:val="99"/>
    <w:rsid w:val="00507EAC"/>
  </w:style>
  <w:style w:type="character" w:styleId="PageNumber">
    <w:name w:val="page number"/>
    <w:basedOn w:val="DefaultParagraphFont"/>
    <w:uiPriority w:val="99"/>
    <w:semiHidden/>
    <w:unhideWhenUsed/>
    <w:rsid w:val="00507EAC"/>
  </w:style>
  <w:style w:type="character" w:styleId="CommentReference">
    <w:name w:val="annotation reference"/>
    <w:basedOn w:val="DefaultParagraphFont"/>
    <w:uiPriority w:val="99"/>
    <w:semiHidden/>
    <w:unhideWhenUsed/>
    <w:rsid w:val="00E86863"/>
    <w:rPr>
      <w:sz w:val="16"/>
      <w:szCs w:val="16"/>
    </w:rPr>
  </w:style>
  <w:style w:type="paragraph" w:styleId="CommentText">
    <w:name w:val="annotation text"/>
    <w:basedOn w:val="Normal"/>
    <w:link w:val="CommentTextChar"/>
    <w:uiPriority w:val="99"/>
    <w:unhideWhenUsed/>
    <w:rsid w:val="00E86863"/>
    <w:pPr>
      <w:spacing w:line="240" w:lineRule="auto"/>
    </w:pPr>
    <w:rPr>
      <w:sz w:val="20"/>
      <w:szCs w:val="20"/>
    </w:rPr>
  </w:style>
  <w:style w:type="character" w:customStyle="1" w:styleId="CommentTextChar">
    <w:name w:val="Comment Text Char"/>
    <w:basedOn w:val="DefaultParagraphFont"/>
    <w:link w:val="CommentText"/>
    <w:uiPriority w:val="99"/>
    <w:rsid w:val="00E86863"/>
    <w:rPr>
      <w:sz w:val="20"/>
      <w:szCs w:val="20"/>
    </w:rPr>
  </w:style>
  <w:style w:type="paragraph" w:styleId="CommentSubject">
    <w:name w:val="annotation subject"/>
    <w:basedOn w:val="CommentText"/>
    <w:next w:val="CommentText"/>
    <w:link w:val="CommentSubjectChar"/>
    <w:uiPriority w:val="99"/>
    <w:semiHidden/>
    <w:unhideWhenUsed/>
    <w:rsid w:val="00E86863"/>
    <w:rPr>
      <w:b/>
      <w:bCs/>
    </w:rPr>
  </w:style>
  <w:style w:type="character" w:customStyle="1" w:styleId="CommentSubjectChar">
    <w:name w:val="Comment Subject Char"/>
    <w:basedOn w:val="CommentTextChar"/>
    <w:link w:val="CommentSubject"/>
    <w:uiPriority w:val="99"/>
    <w:semiHidden/>
    <w:rsid w:val="00E86863"/>
    <w:rPr>
      <w:b/>
      <w:bCs/>
      <w:sz w:val="20"/>
      <w:szCs w:val="20"/>
    </w:rPr>
  </w:style>
  <w:style w:type="character" w:customStyle="1" w:styleId="Heading2Char">
    <w:name w:val="Heading 2 Char"/>
    <w:basedOn w:val="DefaultParagraphFont"/>
    <w:link w:val="Heading2"/>
    <w:uiPriority w:val="9"/>
    <w:rsid w:val="00CB1802"/>
    <w:rPr>
      <w:sz w:val="32"/>
      <w:szCs w:val="32"/>
    </w:rPr>
  </w:style>
  <w:style w:type="character" w:styleId="Hyperlink">
    <w:name w:val="Hyperlink"/>
    <w:basedOn w:val="DefaultParagraphFont"/>
    <w:uiPriority w:val="99"/>
    <w:unhideWhenUsed/>
    <w:rsid w:val="00861870"/>
    <w:rPr>
      <w:color w:val="0000FF" w:themeColor="hyperlink"/>
      <w:u w:val="single"/>
    </w:rPr>
  </w:style>
  <w:style w:type="character" w:styleId="UnresolvedMention">
    <w:name w:val="Unresolved Mention"/>
    <w:basedOn w:val="DefaultParagraphFont"/>
    <w:uiPriority w:val="99"/>
    <w:semiHidden/>
    <w:unhideWhenUsed/>
    <w:rsid w:val="00861870"/>
    <w:rPr>
      <w:color w:val="605E5C"/>
      <w:shd w:val="clear" w:color="auto" w:fill="E1DFDD"/>
    </w:rPr>
  </w:style>
  <w:style w:type="paragraph" w:styleId="Revision">
    <w:name w:val="Revision"/>
    <w:hidden/>
    <w:uiPriority w:val="99"/>
    <w:semiHidden/>
    <w:rsid w:val="008264E0"/>
    <w:pPr>
      <w:spacing w:line="240" w:lineRule="auto"/>
    </w:pPr>
  </w:style>
  <w:style w:type="paragraph" w:styleId="Header">
    <w:name w:val="header"/>
    <w:basedOn w:val="Normal"/>
    <w:link w:val="HeaderChar"/>
    <w:uiPriority w:val="99"/>
    <w:semiHidden/>
    <w:unhideWhenUsed/>
    <w:rsid w:val="005B73E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B7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ata.europa.eu/doi/10.2766/67668" TargetMode="External"/><Relationship Id="rId3" Type="http://schemas.openxmlformats.org/officeDocument/2006/relationships/settings" Target="settings.xml"/><Relationship Id="rId7" Type="http://schemas.openxmlformats.org/officeDocument/2006/relationships/hyperlink" Target="https://data.europa.eu/doi/10.2766/6766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y8v9JjDrGJSELisQkpFTilgXJQ==">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9328</Words>
  <Characters>53173</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Klemencic, Manja</cp:lastModifiedBy>
  <cp:revision>2</cp:revision>
  <dcterms:created xsi:type="dcterms:W3CDTF">2022-09-24T21:57:00Z</dcterms:created>
  <dcterms:modified xsi:type="dcterms:W3CDTF">2022-09-24T21:57:00Z</dcterms:modified>
</cp:coreProperties>
</file>